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73312" w14:textId="610EC683" w:rsidR="00F14E00" w:rsidRPr="00F14E00" w:rsidRDefault="00F14E00" w:rsidP="00422A72">
      <w:pPr>
        <w:rPr>
          <w:color w:val="000000" w:themeColor="text1"/>
          <w:sz w:val="32"/>
          <w:szCs w:val="32"/>
        </w:rPr>
      </w:pPr>
      <w:bookmarkStart w:id="0" w:name="OLE_LINK1"/>
      <w:bookmarkStart w:id="1" w:name="OLE_LINK2"/>
      <w:r w:rsidRPr="00F14E00">
        <w:rPr>
          <w:rFonts w:hint="eastAsia"/>
          <w:color w:val="000000" w:themeColor="text1"/>
          <w:sz w:val="32"/>
          <w:szCs w:val="32"/>
        </w:rPr>
        <w:t xml:space="preserve">特集　</w:t>
      </w:r>
      <w:bookmarkStart w:id="2" w:name="_Hlk101259907"/>
      <w:r w:rsidR="00770387" w:rsidRPr="00770387">
        <w:rPr>
          <w:rFonts w:hint="eastAsia"/>
          <w:color w:val="000000" w:themeColor="text1"/>
          <w:sz w:val="32"/>
          <w:szCs w:val="32"/>
        </w:rPr>
        <w:t>分析科学の</w:t>
      </w:r>
      <w:r w:rsidR="00770387" w:rsidRPr="00770387">
        <w:rPr>
          <w:rFonts w:hint="eastAsia"/>
          <w:color w:val="000000" w:themeColor="text1"/>
          <w:sz w:val="32"/>
          <w:szCs w:val="32"/>
        </w:rPr>
        <w:t>SDGs</w:t>
      </w:r>
      <w:bookmarkEnd w:id="2"/>
    </w:p>
    <w:p w14:paraId="720EE60B" w14:textId="7FD674CC" w:rsidR="00422A72" w:rsidRDefault="00422A72" w:rsidP="00422A72">
      <w:pPr>
        <w:rPr>
          <w:color w:val="000000" w:themeColor="text1"/>
        </w:rPr>
      </w:pPr>
      <w:r w:rsidRPr="00422A72">
        <w:rPr>
          <w:rFonts w:hint="eastAsia"/>
          <w:color w:val="000000" w:themeColor="text1"/>
        </w:rPr>
        <w:t>《特集》「</w:t>
      </w:r>
      <w:r w:rsidR="00770387" w:rsidRPr="00770387">
        <w:rPr>
          <w:rFonts w:hint="eastAsia"/>
          <w:color w:val="000000" w:themeColor="text1"/>
        </w:rPr>
        <w:t>分析科学の</w:t>
      </w:r>
      <w:r w:rsidR="00770387" w:rsidRPr="00770387">
        <w:rPr>
          <w:rFonts w:hint="eastAsia"/>
          <w:color w:val="000000" w:themeColor="text1"/>
        </w:rPr>
        <w:t>SDGs</w:t>
      </w:r>
      <w:r w:rsidRPr="00422A72">
        <w:rPr>
          <w:rFonts w:hint="eastAsia"/>
          <w:color w:val="000000" w:themeColor="text1"/>
        </w:rPr>
        <w:t>」企画にあたって</w:t>
      </w:r>
    </w:p>
    <w:p w14:paraId="614BAA06" w14:textId="77777777" w:rsidR="00770387" w:rsidRPr="00422A72" w:rsidRDefault="00770387" w:rsidP="00422A72">
      <w:pPr>
        <w:rPr>
          <w:color w:val="000000" w:themeColor="text1"/>
        </w:rPr>
      </w:pPr>
    </w:p>
    <w:p w14:paraId="46A7AC7C" w14:textId="32AA867C" w:rsidR="00C91D35" w:rsidRDefault="0063256B" w:rsidP="00C91D35">
      <w:pPr>
        <w:ind w:firstLineChars="135" w:firstLine="283"/>
        <w:rPr>
          <w:color w:val="000000" w:themeColor="text1"/>
        </w:rPr>
      </w:pPr>
      <w:r>
        <w:rPr>
          <w:rFonts w:hint="eastAsia"/>
          <w:color w:val="000000" w:themeColor="text1"/>
        </w:rPr>
        <w:t>分析化学の研究が目指すのは，測れないものを測れるように，それも“より正確に”，“より少ないもの</w:t>
      </w:r>
      <w:r w:rsidR="007E66E3">
        <w:rPr>
          <w:rFonts w:hint="eastAsia"/>
          <w:color w:val="000000" w:themeColor="text1"/>
        </w:rPr>
        <w:t>も</w:t>
      </w:r>
      <w:r>
        <w:rPr>
          <w:rFonts w:hint="eastAsia"/>
          <w:color w:val="000000" w:themeColor="text1"/>
        </w:rPr>
        <w:t>（低濃度</w:t>
      </w:r>
      <w:r w:rsidR="007E66E3">
        <w:rPr>
          <w:rFonts w:hint="eastAsia"/>
          <w:color w:val="000000" w:themeColor="text1"/>
        </w:rPr>
        <w:t>もしくはワイドダイナミックレンジ</w:t>
      </w:r>
      <w:r>
        <w:rPr>
          <w:rFonts w:hint="eastAsia"/>
          <w:color w:val="000000" w:themeColor="text1"/>
        </w:rPr>
        <w:t>）”，“どんな状態で（スペシエーション）”，さらには“より早く</w:t>
      </w:r>
      <w:r w:rsidR="007E66E3">
        <w:rPr>
          <w:rFonts w:hint="eastAsia"/>
          <w:color w:val="000000" w:themeColor="text1"/>
        </w:rPr>
        <w:t>（ハイスループット）</w:t>
      </w:r>
      <w:r>
        <w:rPr>
          <w:rFonts w:hint="eastAsia"/>
          <w:color w:val="000000" w:themeColor="text1"/>
        </w:rPr>
        <w:t>”です．それを実現すべく様々な計測手法</w:t>
      </w:r>
      <w:r w:rsidR="00C91D35">
        <w:rPr>
          <w:rFonts w:hint="eastAsia"/>
          <w:color w:val="000000" w:themeColor="text1"/>
        </w:rPr>
        <w:t>や解析手法が確立され使われてきています．もはや化学に留まることなく様々な学際領域も含み，“分析科学”と言っても差し支えないどころか，むしろ科学の方がしっくりきます．本会の英文誌も「</w:t>
      </w:r>
      <w:r w:rsidR="00C91D35">
        <w:rPr>
          <w:rFonts w:hint="eastAsia"/>
          <w:color w:val="000000" w:themeColor="text1"/>
        </w:rPr>
        <w:t>Analytical</w:t>
      </w:r>
      <w:r w:rsidR="00C91D35">
        <w:rPr>
          <w:color w:val="000000" w:themeColor="text1"/>
        </w:rPr>
        <w:t xml:space="preserve"> </w:t>
      </w:r>
      <w:r w:rsidR="00C91D35">
        <w:rPr>
          <w:rFonts w:hint="eastAsia"/>
          <w:color w:val="000000" w:themeColor="text1"/>
        </w:rPr>
        <w:t>Sciences</w:t>
      </w:r>
      <w:r w:rsidR="00C91D35">
        <w:rPr>
          <w:rFonts w:hint="eastAsia"/>
          <w:color w:val="000000" w:themeColor="text1"/>
        </w:rPr>
        <w:t>」です．</w:t>
      </w:r>
    </w:p>
    <w:p w14:paraId="02990DBD" w14:textId="288CBEF8" w:rsidR="00C91D35" w:rsidRDefault="002232BA" w:rsidP="00C91D35">
      <w:pPr>
        <w:ind w:firstLineChars="135" w:firstLine="283"/>
        <w:rPr>
          <w:color w:val="000000" w:themeColor="text1"/>
        </w:rPr>
      </w:pPr>
      <w:r>
        <w:rPr>
          <w:rFonts w:hint="eastAsia"/>
          <w:color w:val="000000" w:themeColor="text1"/>
        </w:rPr>
        <w:t>また，</w:t>
      </w:r>
      <w:r w:rsidR="00C91D35">
        <w:rPr>
          <w:rFonts w:hint="eastAsia"/>
          <w:color w:val="000000" w:themeColor="text1"/>
        </w:rPr>
        <w:t>昨今，化学また科学においても</w:t>
      </w:r>
      <w:r w:rsidR="00C91D35">
        <w:rPr>
          <w:rFonts w:hint="eastAsia"/>
          <w:color w:val="000000" w:themeColor="text1"/>
        </w:rPr>
        <w:t>SDGs</w:t>
      </w:r>
      <w:r w:rsidR="00C91D35">
        <w:rPr>
          <w:rFonts w:hint="eastAsia"/>
          <w:color w:val="000000" w:themeColor="text1"/>
        </w:rPr>
        <w:t>（</w:t>
      </w:r>
      <w:r w:rsidR="00C91D35">
        <w:rPr>
          <w:rFonts w:hint="eastAsia"/>
          <w:color w:val="000000" w:themeColor="text1"/>
        </w:rPr>
        <w:t>Sustainable Development Goals</w:t>
      </w:r>
      <w:r w:rsidR="00C91D35">
        <w:rPr>
          <w:rFonts w:hint="eastAsia"/>
          <w:color w:val="000000" w:themeColor="text1"/>
        </w:rPr>
        <w:t>）を意識せざるを得ないと感じます．</w:t>
      </w:r>
      <w:r w:rsidR="0077740D">
        <w:rPr>
          <w:rFonts w:hint="eastAsia"/>
          <w:color w:val="000000" w:themeColor="text1"/>
        </w:rPr>
        <w:t>1</w:t>
      </w:r>
      <w:r w:rsidR="0077740D">
        <w:rPr>
          <w:color w:val="000000" w:themeColor="text1"/>
        </w:rPr>
        <w:t>7</w:t>
      </w:r>
      <w:r w:rsidR="0077740D">
        <w:rPr>
          <w:rFonts w:hint="eastAsia"/>
          <w:color w:val="000000" w:themeColor="text1"/>
        </w:rPr>
        <w:t>の目標全てが</w:t>
      </w:r>
      <w:r w:rsidR="00893661">
        <w:rPr>
          <w:rFonts w:hint="eastAsia"/>
          <w:color w:val="000000" w:themeColor="text1"/>
        </w:rPr>
        <w:t>直接</w:t>
      </w:r>
      <w:r w:rsidR="0077740D">
        <w:rPr>
          <w:rFonts w:hint="eastAsia"/>
          <w:color w:val="000000" w:themeColor="text1"/>
        </w:rPr>
        <w:t>関連するものではありませんが，「産業と技術革新の基盤を作ろう」「つくる責任</w:t>
      </w:r>
      <w:r w:rsidR="0077740D">
        <w:rPr>
          <w:rFonts w:hint="eastAsia"/>
          <w:color w:val="000000" w:themeColor="text1"/>
        </w:rPr>
        <w:t xml:space="preserve"> </w:t>
      </w:r>
      <w:r w:rsidR="0077740D">
        <w:rPr>
          <w:rFonts w:hint="eastAsia"/>
          <w:color w:val="000000" w:themeColor="text1"/>
        </w:rPr>
        <w:t>つかう責任」「パートナーシップで目標を達成しよう」は分析化学に大きく関わりますし，学会としての取り組みで「ジェンダー平等を実現しよう」も重要なゴールとなります．</w:t>
      </w:r>
      <w:r>
        <w:rPr>
          <w:rFonts w:hint="eastAsia"/>
          <w:color w:val="000000" w:themeColor="text1"/>
        </w:rPr>
        <w:t>本特集は，分析科学における</w:t>
      </w:r>
      <w:r>
        <w:rPr>
          <w:rFonts w:hint="eastAsia"/>
          <w:color w:val="000000" w:themeColor="text1"/>
        </w:rPr>
        <w:t>SDGs</w:t>
      </w:r>
      <w:r>
        <w:rPr>
          <w:rFonts w:hint="eastAsia"/>
          <w:color w:val="000000" w:themeColor="text1"/>
        </w:rPr>
        <w:t>を紹介するものとし，省力化，ハイスループット化（短時間化），使用する試薬や廃棄物の低減化への取り組みの解説をお願いしました．また，研究開発に関わるもののみでなく，学会</w:t>
      </w:r>
      <w:r w:rsidR="00160EF1">
        <w:rPr>
          <w:rFonts w:hint="eastAsia"/>
          <w:color w:val="000000" w:themeColor="text1"/>
        </w:rPr>
        <w:t>や団体</w:t>
      </w:r>
      <w:r>
        <w:rPr>
          <w:rFonts w:hint="eastAsia"/>
          <w:color w:val="000000" w:themeColor="text1"/>
        </w:rPr>
        <w:t>としての取り組みもご紹介するものとさせていただきました．</w:t>
      </w:r>
    </w:p>
    <w:p w14:paraId="4D92BD04" w14:textId="77777777" w:rsidR="00C91D35" w:rsidRDefault="00C91D35" w:rsidP="00C91D35">
      <w:pPr>
        <w:ind w:firstLineChars="135" w:firstLine="283"/>
        <w:rPr>
          <w:color w:val="000000" w:themeColor="text1"/>
        </w:rPr>
      </w:pPr>
    </w:p>
    <w:p w14:paraId="12F365C7" w14:textId="77777777" w:rsidR="00422A72" w:rsidRDefault="00F14E00" w:rsidP="00840651">
      <w:pPr>
        <w:jc w:val="right"/>
        <w:rPr>
          <w:color w:val="000000" w:themeColor="text1"/>
        </w:rPr>
      </w:pPr>
      <w:r>
        <w:rPr>
          <w:rFonts w:hint="eastAsia"/>
          <w:color w:val="000000" w:themeColor="text1"/>
        </w:rPr>
        <w:t>「</w:t>
      </w:r>
      <w:r w:rsidR="00840651">
        <w:rPr>
          <w:rFonts w:hint="eastAsia"/>
          <w:color w:val="000000" w:themeColor="text1"/>
        </w:rPr>
        <w:t>ぶんせき</w:t>
      </w:r>
      <w:r>
        <w:rPr>
          <w:rFonts w:hint="eastAsia"/>
          <w:color w:val="000000" w:themeColor="text1"/>
        </w:rPr>
        <w:t>」</w:t>
      </w:r>
      <w:r w:rsidR="00840651">
        <w:rPr>
          <w:rFonts w:hint="eastAsia"/>
          <w:color w:val="000000" w:themeColor="text1"/>
        </w:rPr>
        <w:t>編集委員会</w:t>
      </w:r>
      <w:bookmarkEnd w:id="0"/>
      <w:bookmarkEnd w:id="1"/>
    </w:p>
    <w:p w14:paraId="1E944AB4" w14:textId="57C83202" w:rsidR="00203EBA" w:rsidRDefault="00203EBA" w:rsidP="00A02660">
      <w:pPr>
        <w:jc w:val="left"/>
        <w:rPr>
          <w:color w:val="000000" w:themeColor="text1"/>
        </w:rPr>
      </w:pPr>
    </w:p>
    <w:p w14:paraId="6EDB7E1F" w14:textId="50DD9E4D" w:rsidR="00A02660" w:rsidRPr="00F14E00" w:rsidRDefault="00A02660" w:rsidP="00A02660">
      <w:pPr>
        <w:rPr>
          <w:color w:val="000000" w:themeColor="text1"/>
        </w:rPr>
      </w:pPr>
      <w:r w:rsidRPr="00F14E00">
        <w:rPr>
          <w:rFonts w:hint="eastAsia"/>
          <w:color w:val="000000" w:themeColor="text1"/>
          <w:sz w:val="20"/>
          <w:szCs w:val="20"/>
        </w:rPr>
        <w:t xml:space="preserve">特集　</w:t>
      </w:r>
      <w:r w:rsidRPr="00A02660">
        <w:rPr>
          <w:rFonts w:hint="eastAsia"/>
          <w:color w:val="000000" w:themeColor="text1"/>
          <w:sz w:val="20"/>
          <w:szCs w:val="20"/>
        </w:rPr>
        <w:t>分析科学の</w:t>
      </w:r>
      <w:r w:rsidRPr="00A02660">
        <w:rPr>
          <w:rFonts w:hint="eastAsia"/>
          <w:color w:val="000000" w:themeColor="text1"/>
          <w:sz w:val="20"/>
          <w:szCs w:val="20"/>
        </w:rPr>
        <w:t>SDGs</w:t>
      </w:r>
    </w:p>
    <w:tbl>
      <w:tblPr>
        <w:tblW w:w="8647" w:type="dxa"/>
        <w:jc w:val="center"/>
        <w:tblCellMar>
          <w:left w:w="99" w:type="dxa"/>
          <w:right w:w="99" w:type="dxa"/>
        </w:tblCellMar>
        <w:tblLook w:val="04A0" w:firstRow="1" w:lastRow="0" w:firstColumn="1" w:lastColumn="0" w:noHBand="0" w:noVBand="1"/>
      </w:tblPr>
      <w:tblGrid>
        <w:gridCol w:w="4572"/>
        <w:gridCol w:w="4075"/>
      </w:tblGrid>
      <w:tr w:rsidR="00A02660" w:rsidRPr="00203EBA" w14:paraId="129A640D" w14:textId="77777777" w:rsidTr="00C32DBE">
        <w:trPr>
          <w:trHeight w:val="400"/>
          <w:jc w:val="center"/>
        </w:trPr>
        <w:tc>
          <w:tcPr>
            <w:tcW w:w="4572" w:type="dxa"/>
            <w:tcBorders>
              <w:top w:val="nil"/>
              <w:left w:val="nil"/>
              <w:bottom w:val="nil"/>
              <w:right w:val="nil"/>
            </w:tcBorders>
            <w:shd w:val="clear" w:color="auto" w:fill="auto"/>
            <w:noWrap/>
            <w:vAlign w:val="center"/>
            <w:hideMark/>
          </w:tcPr>
          <w:p w14:paraId="75826CE2" w14:textId="7F8F87A6" w:rsidR="00A02660" w:rsidRPr="00FA6A83" w:rsidRDefault="008F7378" w:rsidP="00C32DBE">
            <w:pPr>
              <w:widowControl/>
              <w:jc w:val="left"/>
              <w:rPr>
                <w:rFonts w:ascii="游ゴシック" w:eastAsia="游ゴシック" w:hAnsi="游ゴシック" w:cs="ＭＳ Ｐゴシック"/>
                <w:color w:val="000000"/>
                <w:kern w:val="0"/>
                <w:sz w:val="20"/>
                <w:szCs w:val="20"/>
              </w:rPr>
            </w:pPr>
            <w:r w:rsidRPr="008F7378">
              <w:rPr>
                <w:rFonts w:ascii="游ゴシック" w:eastAsia="游ゴシック" w:hAnsi="游ゴシック" w:cs="ＭＳ Ｐゴシック" w:hint="eastAsia"/>
                <w:color w:val="000000"/>
                <w:kern w:val="0"/>
                <w:sz w:val="20"/>
                <w:szCs w:val="20"/>
              </w:rPr>
              <w:t>女性研究者ネットワーク</w:t>
            </w:r>
          </w:p>
        </w:tc>
        <w:tc>
          <w:tcPr>
            <w:tcW w:w="4075" w:type="dxa"/>
            <w:tcBorders>
              <w:top w:val="nil"/>
              <w:left w:val="nil"/>
              <w:bottom w:val="nil"/>
              <w:right w:val="nil"/>
            </w:tcBorders>
            <w:shd w:val="clear" w:color="auto" w:fill="auto"/>
            <w:noWrap/>
            <w:vAlign w:val="center"/>
            <w:hideMark/>
          </w:tcPr>
          <w:p w14:paraId="27982399" w14:textId="0D9150EC" w:rsidR="00A02660" w:rsidRPr="00FA6A83" w:rsidRDefault="00A02660" w:rsidP="00C32DBE">
            <w:pPr>
              <w:widowControl/>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金澤</w:t>
            </w:r>
            <w:r w:rsidR="00CA1A56">
              <w:rPr>
                <w:rFonts w:ascii="游ゴシック" w:eastAsia="游ゴシック" w:hAnsi="游ゴシック" w:cs="ＭＳ Ｐゴシック" w:hint="eastAsia"/>
                <w:color w:val="000000"/>
                <w:kern w:val="0"/>
                <w:sz w:val="20"/>
                <w:szCs w:val="20"/>
              </w:rPr>
              <w:t xml:space="preserve"> </w:t>
            </w:r>
            <w:r>
              <w:rPr>
                <w:rFonts w:ascii="游ゴシック" w:eastAsia="游ゴシック" w:hAnsi="游ゴシック" w:cs="ＭＳ Ｐゴシック" w:hint="eastAsia"/>
                <w:color w:val="000000"/>
                <w:kern w:val="0"/>
                <w:sz w:val="20"/>
                <w:szCs w:val="20"/>
              </w:rPr>
              <w:t>秀子</w:t>
            </w:r>
            <w:r w:rsidR="00C82C75">
              <w:rPr>
                <w:rFonts w:ascii="游ゴシック" w:eastAsia="游ゴシック" w:hAnsi="游ゴシック" w:cs="ＭＳ Ｐゴシック" w:hint="eastAsia"/>
                <w:color w:val="000000"/>
                <w:kern w:val="0"/>
                <w:sz w:val="20"/>
                <w:szCs w:val="20"/>
              </w:rPr>
              <w:t>（慶應大・薬）</w:t>
            </w:r>
          </w:p>
        </w:tc>
      </w:tr>
      <w:tr w:rsidR="00A02660" w:rsidRPr="00203EBA" w14:paraId="200BCC57" w14:textId="77777777" w:rsidTr="00CA1A56">
        <w:trPr>
          <w:trHeight w:val="400"/>
          <w:jc w:val="center"/>
        </w:trPr>
        <w:tc>
          <w:tcPr>
            <w:tcW w:w="4572" w:type="dxa"/>
            <w:tcBorders>
              <w:top w:val="nil"/>
              <w:left w:val="nil"/>
              <w:bottom w:val="nil"/>
              <w:right w:val="nil"/>
            </w:tcBorders>
            <w:shd w:val="clear" w:color="auto" w:fill="auto"/>
            <w:noWrap/>
            <w:vAlign w:val="center"/>
          </w:tcPr>
          <w:p w14:paraId="47FCF46E" w14:textId="26CAD608" w:rsidR="00A02660" w:rsidRPr="00FA6A83" w:rsidRDefault="00CA1A56" w:rsidP="00C32DBE">
            <w:pPr>
              <w:widowControl/>
              <w:jc w:val="left"/>
              <w:rPr>
                <w:rFonts w:ascii="游ゴシック" w:eastAsia="游ゴシック" w:hAnsi="游ゴシック" w:cs="ＭＳ Ｐゴシック"/>
                <w:color w:val="000000"/>
                <w:kern w:val="0"/>
                <w:sz w:val="20"/>
                <w:szCs w:val="20"/>
              </w:rPr>
            </w:pPr>
            <w:r w:rsidRPr="00CA1A56">
              <w:rPr>
                <w:rFonts w:ascii="游ゴシック" w:eastAsia="游ゴシック" w:hAnsi="游ゴシック" w:cs="ＭＳ Ｐゴシック" w:hint="eastAsia"/>
                <w:color w:val="000000"/>
                <w:kern w:val="0"/>
                <w:sz w:val="20"/>
                <w:szCs w:val="20"/>
              </w:rPr>
              <w:t>海洋生分解性素材</w:t>
            </w:r>
          </w:p>
        </w:tc>
        <w:tc>
          <w:tcPr>
            <w:tcW w:w="4075" w:type="dxa"/>
            <w:tcBorders>
              <w:top w:val="nil"/>
              <w:left w:val="nil"/>
              <w:bottom w:val="nil"/>
              <w:right w:val="nil"/>
            </w:tcBorders>
            <w:shd w:val="clear" w:color="auto" w:fill="auto"/>
            <w:noWrap/>
            <w:vAlign w:val="center"/>
          </w:tcPr>
          <w:p w14:paraId="4E39F228" w14:textId="687560A1" w:rsidR="00A02660" w:rsidRPr="00FA6A83" w:rsidRDefault="00CA1A56" w:rsidP="00C32DBE">
            <w:pPr>
              <w:widowControl/>
              <w:jc w:val="left"/>
              <w:rPr>
                <w:rFonts w:ascii="游ゴシック" w:eastAsia="游ゴシック" w:hAnsi="游ゴシック" w:cs="ＭＳ Ｐゴシック"/>
                <w:color w:val="000000"/>
                <w:kern w:val="0"/>
                <w:sz w:val="20"/>
                <w:szCs w:val="20"/>
              </w:rPr>
            </w:pPr>
            <w:r w:rsidRPr="00CA1A56">
              <w:rPr>
                <w:rFonts w:ascii="游ゴシック" w:eastAsia="游ゴシック" w:hAnsi="游ゴシック" w:cs="ＭＳ Ｐゴシック" w:hint="eastAsia"/>
                <w:color w:val="000000"/>
                <w:kern w:val="0"/>
                <w:sz w:val="20"/>
                <w:szCs w:val="20"/>
              </w:rPr>
              <w:t>磯部</w:t>
            </w:r>
            <w:r>
              <w:rPr>
                <w:rFonts w:ascii="游ゴシック" w:eastAsia="游ゴシック" w:hAnsi="游ゴシック" w:cs="ＭＳ Ｐゴシック" w:hint="eastAsia"/>
                <w:color w:val="000000"/>
                <w:kern w:val="0"/>
                <w:sz w:val="20"/>
                <w:szCs w:val="20"/>
              </w:rPr>
              <w:t xml:space="preserve"> </w:t>
            </w:r>
            <w:r w:rsidRPr="00CA1A56">
              <w:rPr>
                <w:rFonts w:ascii="游ゴシック" w:eastAsia="游ゴシック" w:hAnsi="游ゴシック" w:cs="ＭＳ Ｐゴシック" w:hint="eastAsia"/>
                <w:color w:val="000000"/>
                <w:kern w:val="0"/>
                <w:sz w:val="20"/>
                <w:szCs w:val="20"/>
              </w:rPr>
              <w:t>紀之</w:t>
            </w:r>
          </w:p>
        </w:tc>
      </w:tr>
      <w:tr w:rsidR="00160EF1" w:rsidRPr="00203EBA" w14:paraId="6E097270" w14:textId="77777777" w:rsidTr="00CA1A56">
        <w:trPr>
          <w:trHeight w:val="400"/>
          <w:jc w:val="center"/>
        </w:trPr>
        <w:tc>
          <w:tcPr>
            <w:tcW w:w="4572" w:type="dxa"/>
            <w:tcBorders>
              <w:top w:val="nil"/>
              <w:left w:val="nil"/>
              <w:bottom w:val="nil"/>
              <w:right w:val="nil"/>
            </w:tcBorders>
            <w:shd w:val="clear" w:color="auto" w:fill="auto"/>
            <w:noWrap/>
            <w:vAlign w:val="center"/>
          </w:tcPr>
          <w:p w14:paraId="0D1482E8" w14:textId="572B283C" w:rsidR="00160EF1" w:rsidRPr="00F07F1B" w:rsidRDefault="00160EF1" w:rsidP="00C32DBE">
            <w:pPr>
              <w:widowControl/>
              <w:jc w:val="left"/>
              <w:rPr>
                <w:rFonts w:ascii="游ゴシック" w:eastAsia="游ゴシック" w:hAnsi="游ゴシック" w:cs="ＭＳ Ｐゴシック"/>
                <w:strike/>
                <w:color w:val="000000"/>
                <w:kern w:val="0"/>
                <w:sz w:val="20"/>
                <w:szCs w:val="20"/>
              </w:rPr>
            </w:pPr>
            <w:r w:rsidRPr="00F07F1B">
              <w:rPr>
                <w:rFonts w:ascii="游ゴシック" w:eastAsia="游ゴシック" w:hAnsi="游ゴシック" w:cs="ＭＳ Ｐゴシック" w:hint="eastAsia"/>
                <w:strike/>
                <w:color w:val="000000"/>
                <w:kern w:val="0"/>
                <w:sz w:val="20"/>
                <w:szCs w:val="20"/>
              </w:rPr>
              <w:t>ポリスチレン微粒子吸着蛍光染料</w:t>
            </w:r>
          </w:p>
        </w:tc>
        <w:tc>
          <w:tcPr>
            <w:tcW w:w="4075" w:type="dxa"/>
            <w:tcBorders>
              <w:top w:val="nil"/>
              <w:left w:val="nil"/>
              <w:bottom w:val="nil"/>
              <w:right w:val="nil"/>
            </w:tcBorders>
            <w:shd w:val="clear" w:color="auto" w:fill="auto"/>
            <w:noWrap/>
            <w:vAlign w:val="center"/>
          </w:tcPr>
          <w:p w14:paraId="66EEB101" w14:textId="48F9B77B" w:rsidR="00160EF1" w:rsidRPr="00160EF1" w:rsidRDefault="00160EF1" w:rsidP="00C32DBE">
            <w:pPr>
              <w:widowControl/>
              <w:jc w:val="left"/>
              <w:rPr>
                <w:rFonts w:ascii="游ゴシック" w:eastAsia="游ゴシック" w:hAnsi="游ゴシック" w:cs="ＭＳ Ｐゴシック"/>
                <w:color w:val="000000"/>
                <w:kern w:val="0"/>
                <w:sz w:val="20"/>
                <w:szCs w:val="20"/>
              </w:rPr>
            </w:pPr>
            <w:r w:rsidRPr="00F07F1B">
              <w:rPr>
                <w:rFonts w:ascii="游ゴシック" w:eastAsia="游ゴシック" w:hAnsi="游ゴシック" w:cs="ＭＳ Ｐゴシック" w:hint="eastAsia"/>
                <w:strike/>
                <w:color w:val="000000"/>
                <w:kern w:val="0"/>
                <w:sz w:val="20"/>
                <w:szCs w:val="20"/>
              </w:rPr>
              <w:t>青木 寛（産総研）</w:t>
            </w:r>
            <w:r>
              <w:rPr>
                <w:rFonts w:ascii="游ゴシック" w:eastAsia="游ゴシック" w:hAnsi="游ゴシック" w:cs="ＭＳ Ｐゴシック" w:hint="eastAsia"/>
                <w:color w:val="000000"/>
                <w:kern w:val="0"/>
                <w:sz w:val="20"/>
                <w:szCs w:val="20"/>
              </w:rPr>
              <w:t>→ 辞退</w:t>
            </w:r>
          </w:p>
        </w:tc>
      </w:tr>
      <w:tr w:rsidR="00A02660" w:rsidRPr="00203EBA" w14:paraId="0534EA94" w14:textId="77777777" w:rsidTr="00CA1A56">
        <w:trPr>
          <w:trHeight w:val="400"/>
          <w:jc w:val="center"/>
        </w:trPr>
        <w:tc>
          <w:tcPr>
            <w:tcW w:w="4572" w:type="dxa"/>
            <w:tcBorders>
              <w:top w:val="nil"/>
              <w:left w:val="nil"/>
              <w:bottom w:val="nil"/>
              <w:right w:val="nil"/>
            </w:tcBorders>
            <w:shd w:val="clear" w:color="auto" w:fill="auto"/>
            <w:noWrap/>
            <w:vAlign w:val="center"/>
          </w:tcPr>
          <w:p w14:paraId="7FAAD6FB" w14:textId="3F097A95" w:rsidR="00A02660" w:rsidRPr="00FA6A83" w:rsidRDefault="00893661" w:rsidP="00C32DBE">
            <w:pPr>
              <w:widowControl/>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環境分析・水道分析</w:t>
            </w:r>
          </w:p>
        </w:tc>
        <w:tc>
          <w:tcPr>
            <w:tcW w:w="4075" w:type="dxa"/>
            <w:tcBorders>
              <w:top w:val="nil"/>
              <w:left w:val="nil"/>
              <w:bottom w:val="nil"/>
              <w:right w:val="nil"/>
            </w:tcBorders>
            <w:shd w:val="clear" w:color="auto" w:fill="auto"/>
            <w:noWrap/>
            <w:vAlign w:val="center"/>
          </w:tcPr>
          <w:p w14:paraId="58064FEC" w14:textId="680B5C8A" w:rsidR="00A02660" w:rsidRPr="00FA6A83" w:rsidRDefault="00893661" w:rsidP="00C32DBE">
            <w:pPr>
              <w:widowControl/>
              <w:jc w:val="left"/>
              <w:rPr>
                <w:rFonts w:ascii="游ゴシック" w:eastAsia="游ゴシック" w:hAnsi="游ゴシック" w:cs="ＭＳ Ｐゴシック"/>
                <w:color w:val="000000"/>
                <w:kern w:val="0"/>
                <w:sz w:val="20"/>
                <w:szCs w:val="20"/>
              </w:rPr>
            </w:pPr>
            <w:r w:rsidRPr="00CA1A56">
              <w:rPr>
                <w:rFonts w:ascii="游ゴシック" w:eastAsia="游ゴシック" w:hAnsi="游ゴシック" w:cs="ＭＳ Ｐゴシック" w:hint="eastAsia"/>
                <w:color w:val="000000"/>
                <w:kern w:val="0"/>
                <w:sz w:val="20"/>
                <w:szCs w:val="20"/>
              </w:rPr>
              <w:t>古川</w:t>
            </w:r>
            <w:r>
              <w:rPr>
                <w:rFonts w:ascii="游ゴシック" w:eastAsia="游ゴシック" w:hAnsi="游ゴシック" w:cs="ＭＳ Ｐゴシック" w:hint="eastAsia"/>
                <w:color w:val="000000"/>
                <w:kern w:val="0"/>
                <w:sz w:val="20"/>
                <w:szCs w:val="20"/>
              </w:rPr>
              <w:t xml:space="preserve"> </w:t>
            </w:r>
            <w:r w:rsidRPr="00CA1A56">
              <w:rPr>
                <w:rFonts w:ascii="游ゴシック" w:eastAsia="游ゴシック" w:hAnsi="游ゴシック" w:cs="ＭＳ Ｐゴシック" w:hint="eastAsia"/>
                <w:color w:val="000000"/>
                <w:kern w:val="0"/>
                <w:sz w:val="20"/>
                <w:szCs w:val="20"/>
              </w:rPr>
              <w:t>浩司</w:t>
            </w:r>
            <w:r>
              <w:rPr>
                <w:rFonts w:ascii="游ゴシック" w:eastAsia="游ゴシック" w:hAnsi="游ゴシック" w:cs="ＭＳ Ｐゴシック" w:hint="eastAsia"/>
                <w:color w:val="000000"/>
                <w:kern w:val="0"/>
                <w:sz w:val="20"/>
                <w:szCs w:val="20"/>
              </w:rPr>
              <w:t>（</w:t>
            </w:r>
            <w:r w:rsidRPr="00893661">
              <w:rPr>
                <w:rFonts w:ascii="游ゴシック" w:eastAsia="游ゴシック" w:hAnsi="游ゴシック" w:cs="ＭＳ Ｐゴシック" w:hint="eastAsia"/>
                <w:color w:val="000000"/>
                <w:kern w:val="0"/>
                <w:sz w:val="20"/>
                <w:szCs w:val="20"/>
              </w:rPr>
              <w:t>三重県環境保全事業団</w:t>
            </w:r>
            <w:r>
              <w:rPr>
                <w:rFonts w:ascii="游ゴシック" w:eastAsia="游ゴシック" w:hAnsi="游ゴシック" w:cs="ＭＳ Ｐゴシック" w:hint="eastAsia"/>
                <w:color w:val="000000"/>
                <w:kern w:val="0"/>
                <w:sz w:val="20"/>
                <w:szCs w:val="20"/>
              </w:rPr>
              <w:t>）</w:t>
            </w:r>
          </w:p>
        </w:tc>
      </w:tr>
      <w:tr w:rsidR="00A02660" w:rsidRPr="00203EBA" w14:paraId="02A1A87A" w14:textId="77777777" w:rsidTr="00CA1A56">
        <w:trPr>
          <w:trHeight w:val="400"/>
          <w:jc w:val="center"/>
        </w:trPr>
        <w:tc>
          <w:tcPr>
            <w:tcW w:w="4572" w:type="dxa"/>
            <w:tcBorders>
              <w:top w:val="nil"/>
              <w:left w:val="nil"/>
              <w:bottom w:val="nil"/>
              <w:right w:val="nil"/>
            </w:tcBorders>
            <w:shd w:val="clear" w:color="auto" w:fill="auto"/>
            <w:noWrap/>
            <w:vAlign w:val="center"/>
          </w:tcPr>
          <w:p w14:paraId="5A17DB13" w14:textId="06D6579D" w:rsidR="00A02660" w:rsidRPr="00FA6A83" w:rsidRDefault="00893661" w:rsidP="00C32DBE">
            <w:pPr>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S</w:t>
            </w:r>
            <w:r>
              <w:rPr>
                <w:rFonts w:ascii="游ゴシック" w:eastAsia="游ゴシック" w:hAnsi="游ゴシック" w:cs="ＭＳ Ｐゴシック"/>
                <w:color w:val="000000"/>
                <w:kern w:val="0"/>
                <w:sz w:val="20"/>
                <w:szCs w:val="20"/>
              </w:rPr>
              <w:t>DGs</w:t>
            </w:r>
            <w:r>
              <w:rPr>
                <w:rFonts w:ascii="游ゴシック" w:eastAsia="游ゴシック" w:hAnsi="游ゴシック" w:cs="ＭＳ Ｐゴシック" w:hint="eastAsia"/>
                <w:color w:val="000000"/>
                <w:kern w:val="0"/>
                <w:sz w:val="20"/>
                <w:szCs w:val="20"/>
              </w:rPr>
              <w:t>に対する取り組み</w:t>
            </w:r>
          </w:p>
        </w:tc>
        <w:tc>
          <w:tcPr>
            <w:tcW w:w="4075" w:type="dxa"/>
            <w:tcBorders>
              <w:top w:val="nil"/>
              <w:left w:val="nil"/>
              <w:bottom w:val="nil"/>
              <w:right w:val="nil"/>
            </w:tcBorders>
            <w:shd w:val="clear" w:color="auto" w:fill="auto"/>
            <w:noWrap/>
            <w:vAlign w:val="center"/>
          </w:tcPr>
          <w:p w14:paraId="603C414A" w14:textId="33509D24" w:rsidR="00A02660" w:rsidRPr="00FA6A83" w:rsidRDefault="00893661" w:rsidP="00C32DBE">
            <w:pPr>
              <w:widowControl/>
              <w:jc w:val="left"/>
              <w:rPr>
                <w:rFonts w:ascii="游ゴシック" w:eastAsia="游ゴシック" w:hAnsi="游ゴシック" w:cs="ＭＳ Ｐゴシック"/>
                <w:color w:val="000000"/>
                <w:kern w:val="0"/>
                <w:sz w:val="20"/>
                <w:szCs w:val="20"/>
              </w:rPr>
            </w:pPr>
            <w:r w:rsidRPr="00893661">
              <w:rPr>
                <w:rFonts w:ascii="游ゴシック" w:eastAsia="游ゴシック" w:hAnsi="游ゴシック" w:cs="ＭＳ Ｐゴシック" w:hint="eastAsia"/>
                <w:color w:val="000000"/>
                <w:kern w:val="0"/>
                <w:sz w:val="20"/>
                <w:szCs w:val="20"/>
              </w:rPr>
              <w:t>青山</w:t>
            </w:r>
            <w:r>
              <w:rPr>
                <w:rFonts w:ascii="游ゴシック" w:eastAsia="游ゴシック" w:hAnsi="游ゴシック" w:cs="ＭＳ Ｐゴシック" w:hint="eastAsia"/>
                <w:color w:val="000000"/>
                <w:kern w:val="0"/>
                <w:sz w:val="20"/>
                <w:szCs w:val="20"/>
              </w:rPr>
              <w:t xml:space="preserve"> </w:t>
            </w:r>
            <w:r w:rsidRPr="00893661">
              <w:rPr>
                <w:rFonts w:ascii="游ゴシック" w:eastAsia="游ゴシック" w:hAnsi="游ゴシック" w:cs="ＭＳ Ｐゴシック" w:hint="eastAsia"/>
                <w:color w:val="000000"/>
                <w:kern w:val="0"/>
                <w:sz w:val="20"/>
                <w:szCs w:val="20"/>
              </w:rPr>
              <w:t>千顕</w:t>
            </w:r>
            <w:r>
              <w:rPr>
                <w:rFonts w:ascii="游ゴシック" w:eastAsia="游ゴシック" w:hAnsi="游ゴシック" w:cs="ＭＳ Ｐゴシック" w:hint="eastAsia"/>
                <w:color w:val="000000"/>
                <w:kern w:val="0"/>
                <w:sz w:val="20"/>
                <w:szCs w:val="20"/>
              </w:rPr>
              <w:t>（GLサイエンス）</w:t>
            </w:r>
          </w:p>
        </w:tc>
      </w:tr>
      <w:tr w:rsidR="00CA1A56" w:rsidRPr="00203EBA" w14:paraId="5C3D7779" w14:textId="77777777" w:rsidTr="00CA1A56">
        <w:trPr>
          <w:trHeight w:val="400"/>
          <w:jc w:val="center"/>
        </w:trPr>
        <w:tc>
          <w:tcPr>
            <w:tcW w:w="4572" w:type="dxa"/>
            <w:tcBorders>
              <w:top w:val="nil"/>
              <w:left w:val="nil"/>
              <w:bottom w:val="nil"/>
              <w:right w:val="nil"/>
            </w:tcBorders>
            <w:shd w:val="clear" w:color="auto" w:fill="auto"/>
            <w:noWrap/>
            <w:vAlign w:val="center"/>
          </w:tcPr>
          <w:p w14:paraId="1156AD96" w14:textId="3C35A531" w:rsidR="00E64408" w:rsidRPr="00FA6A83" w:rsidRDefault="00E64408" w:rsidP="00C32DBE">
            <w:pPr>
              <w:jc w:val="left"/>
              <w:rPr>
                <w:rFonts w:ascii="游ゴシック" w:eastAsia="游ゴシック" w:hAnsi="游ゴシック" w:cs="ＭＳ Ｐゴシック" w:hint="eastAsia"/>
                <w:color w:val="000000"/>
                <w:kern w:val="0"/>
                <w:sz w:val="20"/>
                <w:szCs w:val="20"/>
              </w:rPr>
            </w:pPr>
            <w:r>
              <w:rPr>
                <w:rFonts w:ascii="游ゴシック" w:eastAsia="游ゴシック" w:hAnsi="游ゴシック" w:cs="ＭＳ Ｐゴシック" w:hint="eastAsia"/>
                <w:color w:val="000000"/>
                <w:kern w:val="0"/>
                <w:sz w:val="20"/>
                <w:szCs w:val="20"/>
              </w:rPr>
              <w:t>未定</w:t>
            </w:r>
          </w:p>
        </w:tc>
        <w:tc>
          <w:tcPr>
            <w:tcW w:w="4075" w:type="dxa"/>
            <w:tcBorders>
              <w:top w:val="nil"/>
              <w:left w:val="nil"/>
              <w:bottom w:val="nil"/>
              <w:right w:val="nil"/>
            </w:tcBorders>
            <w:shd w:val="clear" w:color="auto" w:fill="auto"/>
            <w:noWrap/>
            <w:vAlign w:val="center"/>
          </w:tcPr>
          <w:p w14:paraId="454DFF07" w14:textId="684E063D" w:rsidR="00CA1A56" w:rsidRPr="00FA6A83" w:rsidRDefault="00E64408" w:rsidP="00C32DBE">
            <w:pPr>
              <w:widowControl/>
              <w:jc w:val="left"/>
              <w:rPr>
                <w:rFonts w:ascii="游ゴシック" w:eastAsia="游ゴシック" w:hAnsi="游ゴシック" w:cs="ＭＳ Ｐゴシック"/>
                <w:color w:val="000000"/>
                <w:kern w:val="0"/>
                <w:sz w:val="20"/>
                <w:szCs w:val="20"/>
              </w:rPr>
            </w:pPr>
            <w:r w:rsidRPr="00E64408">
              <w:rPr>
                <w:rFonts w:ascii="游ゴシック" w:eastAsia="游ゴシック" w:hAnsi="游ゴシック" w:cs="ＭＳ Ｐゴシック" w:hint="eastAsia"/>
                <w:color w:val="000000"/>
                <w:kern w:val="0"/>
                <w:sz w:val="20"/>
                <w:szCs w:val="20"/>
              </w:rPr>
              <w:t>小倉(宮)　亜紗美</w:t>
            </w:r>
            <w:r>
              <w:rPr>
                <w:rFonts w:ascii="游ゴシック" w:eastAsia="游ゴシック" w:hAnsi="游ゴシック" w:cs="ＭＳ Ｐゴシック" w:hint="eastAsia"/>
                <w:color w:val="000000"/>
                <w:kern w:val="0"/>
                <w:sz w:val="20"/>
                <w:szCs w:val="20"/>
              </w:rPr>
              <w:t>（呉高専）</w:t>
            </w:r>
          </w:p>
        </w:tc>
      </w:tr>
      <w:tr w:rsidR="00A02660" w:rsidRPr="00203EBA" w14:paraId="2EF4779B" w14:textId="77777777" w:rsidTr="00CA1A56">
        <w:trPr>
          <w:trHeight w:val="400"/>
          <w:jc w:val="center"/>
        </w:trPr>
        <w:tc>
          <w:tcPr>
            <w:tcW w:w="4572" w:type="dxa"/>
            <w:tcBorders>
              <w:top w:val="nil"/>
              <w:left w:val="nil"/>
              <w:bottom w:val="nil"/>
              <w:right w:val="nil"/>
            </w:tcBorders>
            <w:shd w:val="clear" w:color="auto" w:fill="auto"/>
            <w:noWrap/>
            <w:vAlign w:val="center"/>
          </w:tcPr>
          <w:p w14:paraId="0EC8F5B6" w14:textId="345C8416" w:rsidR="00A02660" w:rsidRPr="00E64408" w:rsidRDefault="00E64408" w:rsidP="00C32DBE">
            <w:pPr>
              <w:widowControl/>
              <w:jc w:val="left"/>
              <w:rPr>
                <w:rFonts w:ascii="游ゴシック" w:eastAsia="游ゴシック" w:hAnsi="游ゴシック" w:cs="ＭＳ Ｐゴシック"/>
                <w:color w:val="000000"/>
                <w:kern w:val="0"/>
                <w:sz w:val="20"/>
                <w:szCs w:val="20"/>
              </w:rPr>
            </w:pPr>
            <w:r w:rsidRPr="00E64408">
              <w:rPr>
                <w:rFonts w:ascii="游ゴシック" w:eastAsia="游ゴシック" w:hAnsi="游ゴシック" w:cs="ＭＳ Ｐゴシック" w:hint="eastAsia"/>
                <w:color w:val="000000"/>
                <w:kern w:val="0"/>
                <w:sz w:val="20"/>
                <w:szCs w:val="20"/>
              </w:rPr>
              <w:t>簡易水質分析</w:t>
            </w:r>
          </w:p>
        </w:tc>
        <w:tc>
          <w:tcPr>
            <w:tcW w:w="4075" w:type="dxa"/>
            <w:tcBorders>
              <w:top w:val="nil"/>
              <w:left w:val="nil"/>
              <w:bottom w:val="nil"/>
              <w:right w:val="nil"/>
            </w:tcBorders>
            <w:shd w:val="clear" w:color="auto" w:fill="auto"/>
            <w:noWrap/>
            <w:vAlign w:val="center"/>
          </w:tcPr>
          <w:p w14:paraId="4E871319" w14:textId="65E63699" w:rsidR="00A02660" w:rsidRPr="00786114" w:rsidRDefault="00E64408" w:rsidP="00C32DBE">
            <w:pPr>
              <w:widowControl/>
              <w:jc w:val="left"/>
              <w:rPr>
                <w:rFonts w:ascii="游ゴシック" w:eastAsia="游ゴシック" w:hAnsi="游ゴシック" w:cs="ＭＳ Ｐゴシック"/>
                <w:color w:val="000000"/>
                <w:kern w:val="0"/>
                <w:sz w:val="20"/>
                <w:szCs w:val="20"/>
              </w:rPr>
            </w:pPr>
            <w:r>
              <w:rPr>
                <w:rFonts w:ascii="Arial" w:hAnsi="Arial" w:cs="Arial"/>
                <w:color w:val="222222"/>
                <w:shd w:val="clear" w:color="auto" w:fill="FFFFFF"/>
              </w:rPr>
              <w:t>佐藤</w:t>
            </w:r>
            <w:r>
              <w:rPr>
                <w:rFonts w:ascii="Arial" w:hAnsi="Arial" w:cs="Arial"/>
                <w:color w:val="222222"/>
                <w:shd w:val="clear" w:color="auto" w:fill="FFFFFF"/>
              </w:rPr>
              <w:t xml:space="preserve"> </w:t>
            </w:r>
            <w:r>
              <w:rPr>
                <w:rFonts w:ascii="Arial" w:hAnsi="Arial" w:cs="Arial"/>
                <w:color w:val="222222"/>
                <w:shd w:val="clear" w:color="auto" w:fill="FFFFFF"/>
              </w:rPr>
              <w:t>久</w:t>
            </w:r>
            <w:r>
              <w:rPr>
                <w:rFonts w:ascii="Arial" w:hAnsi="Arial" w:cs="Arial" w:hint="eastAsia"/>
                <w:color w:val="222222"/>
                <w:shd w:val="clear" w:color="auto" w:fill="FFFFFF"/>
              </w:rPr>
              <w:t>（北大・工）</w:t>
            </w:r>
          </w:p>
        </w:tc>
      </w:tr>
      <w:tr w:rsidR="00A02660" w:rsidRPr="00203EBA" w14:paraId="565154DA" w14:textId="77777777" w:rsidTr="00CA1A56">
        <w:trPr>
          <w:trHeight w:val="400"/>
          <w:jc w:val="center"/>
        </w:trPr>
        <w:tc>
          <w:tcPr>
            <w:tcW w:w="4572" w:type="dxa"/>
            <w:tcBorders>
              <w:top w:val="nil"/>
              <w:left w:val="nil"/>
              <w:bottom w:val="nil"/>
              <w:right w:val="nil"/>
            </w:tcBorders>
            <w:shd w:val="clear" w:color="auto" w:fill="auto"/>
            <w:noWrap/>
            <w:vAlign w:val="center"/>
          </w:tcPr>
          <w:p w14:paraId="739D40C2" w14:textId="335ACAA2" w:rsidR="00A02660" w:rsidRPr="00FA6A83" w:rsidRDefault="00E64408" w:rsidP="00C32DBE">
            <w:pPr>
              <w:widowControl/>
              <w:jc w:val="left"/>
              <w:rPr>
                <w:rFonts w:ascii="游ゴシック" w:eastAsia="游ゴシック" w:hAnsi="游ゴシック" w:cs="ＭＳ Ｐゴシック"/>
                <w:color w:val="000000"/>
                <w:kern w:val="0"/>
                <w:sz w:val="20"/>
                <w:szCs w:val="20"/>
              </w:rPr>
            </w:pPr>
            <w:r>
              <w:rPr>
                <w:rFonts w:ascii="Arial" w:hAnsi="Arial" w:cs="Arial"/>
                <w:color w:val="222222"/>
                <w:shd w:val="clear" w:color="auto" w:fill="FFFFFF"/>
              </w:rPr>
              <w:t>大気汚染物質・微量成分の計測</w:t>
            </w:r>
          </w:p>
        </w:tc>
        <w:tc>
          <w:tcPr>
            <w:tcW w:w="4075" w:type="dxa"/>
            <w:tcBorders>
              <w:top w:val="nil"/>
              <w:left w:val="nil"/>
              <w:bottom w:val="nil"/>
              <w:right w:val="nil"/>
            </w:tcBorders>
            <w:shd w:val="clear" w:color="auto" w:fill="auto"/>
            <w:noWrap/>
            <w:vAlign w:val="center"/>
          </w:tcPr>
          <w:p w14:paraId="72CA4F4E" w14:textId="7F866D64" w:rsidR="00A02660" w:rsidRPr="00FA6A83" w:rsidRDefault="00E64408" w:rsidP="00C32DBE">
            <w:pPr>
              <w:widowControl/>
              <w:jc w:val="left"/>
              <w:rPr>
                <w:rFonts w:ascii="游ゴシック" w:eastAsia="游ゴシック" w:hAnsi="游ゴシック" w:cs="ＭＳ Ｐゴシック"/>
                <w:color w:val="000000"/>
                <w:kern w:val="0"/>
                <w:sz w:val="20"/>
                <w:szCs w:val="20"/>
              </w:rPr>
            </w:pPr>
            <w:r>
              <w:rPr>
                <w:rFonts w:ascii="Arial" w:hAnsi="Arial" w:cs="Arial"/>
                <w:color w:val="000000"/>
                <w:shd w:val="clear" w:color="auto" w:fill="FFFFFF"/>
              </w:rPr>
              <w:t>定永</w:t>
            </w:r>
            <w:r>
              <w:rPr>
                <w:rFonts w:ascii="Arial" w:hAnsi="Arial" w:cs="Arial" w:hint="eastAsia"/>
                <w:color w:val="000000"/>
                <w:shd w:val="clear" w:color="auto" w:fill="FFFFFF"/>
              </w:rPr>
              <w:t xml:space="preserve"> </w:t>
            </w:r>
            <w:r>
              <w:rPr>
                <w:rFonts w:ascii="Arial" w:hAnsi="Arial" w:cs="Arial"/>
                <w:color w:val="000000"/>
                <w:shd w:val="clear" w:color="auto" w:fill="FFFFFF"/>
              </w:rPr>
              <w:t>靖宗</w:t>
            </w:r>
            <w:r>
              <w:rPr>
                <w:rFonts w:ascii="Arial" w:hAnsi="Arial" w:cs="Arial" w:hint="eastAsia"/>
                <w:color w:val="000000"/>
                <w:shd w:val="clear" w:color="auto" w:fill="FFFFFF"/>
              </w:rPr>
              <w:t>（大阪公立大学・工）</w:t>
            </w:r>
          </w:p>
        </w:tc>
      </w:tr>
      <w:tr w:rsidR="00A02660" w:rsidRPr="00203EBA" w14:paraId="061EFF73" w14:textId="77777777" w:rsidTr="00CA1A56">
        <w:trPr>
          <w:trHeight w:val="400"/>
          <w:jc w:val="center"/>
        </w:trPr>
        <w:tc>
          <w:tcPr>
            <w:tcW w:w="4572" w:type="dxa"/>
            <w:tcBorders>
              <w:top w:val="nil"/>
              <w:left w:val="nil"/>
              <w:bottom w:val="nil"/>
              <w:right w:val="nil"/>
            </w:tcBorders>
            <w:shd w:val="clear" w:color="auto" w:fill="auto"/>
            <w:noWrap/>
            <w:vAlign w:val="center"/>
          </w:tcPr>
          <w:p w14:paraId="0931103B" w14:textId="79F630D4" w:rsidR="00A02660" w:rsidRPr="00FA6A83" w:rsidRDefault="00A02660" w:rsidP="00C32DBE">
            <w:pPr>
              <w:widowControl/>
              <w:jc w:val="left"/>
              <w:rPr>
                <w:rFonts w:ascii="游ゴシック" w:eastAsia="游ゴシック" w:hAnsi="游ゴシック" w:cs="ＭＳ Ｐゴシック"/>
                <w:color w:val="000000"/>
                <w:kern w:val="0"/>
                <w:sz w:val="20"/>
                <w:szCs w:val="20"/>
              </w:rPr>
            </w:pPr>
          </w:p>
        </w:tc>
        <w:tc>
          <w:tcPr>
            <w:tcW w:w="4075" w:type="dxa"/>
            <w:tcBorders>
              <w:top w:val="nil"/>
              <w:left w:val="nil"/>
              <w:bottom w:val="nil"/>
              <w:right w:val="nil"/>
            </w:tcBorders>
            <w:shd w:val="clear" w:color="auto" w:fill="auto"/>
            <w:noWrap/>
            <w:vAlign w:val="center"/>
          </w:tcPr>
          <w:p w14:paraId="3A486387" w14:textId="48D04BBB" w:rsidR="00A02660" w:rsidRPr="00FA6A83" w:rsidRDefault="00A02660" w:rsidP="00C32DBE">
            <w:pPr>
              <w:widowControl/>
              <w:jc w:val="left"/>
              <w:rPr>
                <w:rFonts w:ascii="游ゴシック" w:eastAsia="游ゴシック" w:hAnsi="游ゴシック" w:cs="ＭＳ Ｐゴシック"/>
                <w:color w:val="000000"/>
                <w:kern w:val="0"/>
                <w:sz w:val="20"/>
                <w:szCs w:val="20"/>
              </w:rPr>
            </w:pPr>
          </w:p>
        </w:tc>
      </w:tr>
      <w:tr w:rsidR="00A02660" w:rsidRPr="00203EBA" w14:paraId="75DB056D" w14:textId="77777777" w:rsidTr="00CA1A56">
        <w:trPr>
          <w:trHeight w:val="400"/>
          <w:jc w:val="center"/>
        </w:trPr>
        <w:tc>
          <w:tcPr>
            <w:tcW w:w="4572" w:type="dxa"/>
            <w:tcBorders>
              <w:top w:val="nil"/>
              <w:left w:val="nil"/>
              <w:bottom w:val="nil"/>
              <w:right w:val="nil"/>
            </w:tcBorders>
            <w:shd w:val="clear" w:color="auto" w:fill="auto"/>
            <w:noWrap/>
            <w:vAlign w:val="center"/>
          </w:tcPr>
          <w:p w14:paraId="6E3A843D" w14:textId="29776045" w:rsidR="00A02660" w:rsidRPr="00FA6A83" w:rsidRDefault="00A02660" w:rsidP="00C32DBE">
            <w:pPr>
              <w:widowControl/>
              <w:jc w:val="left"/>
              <w:rPr>
                <w:rFonts w:ascii="游ゴシック" w:eastAsia="游ゴシック" w:hAnsi="游ゴシック" w:cs="ＭＳ Ｐゴシック"/>
                <w:color w:val="000000"/>
                <w:kern w:val="0"/>
                <w:sz w:val="20"/>
                <w:szCs w:val="20"/>
              </w:rPr>
            </w:pPr>
          </w:p>
        </w:tc>
        <w:tc>
          <w:tcPr>
            <w:tcW w:w="4075" w:type="dxa"/>
            <w:tcBorders>
              <w:top w:val="nil"/>
              <w:left w:val="nil"/>
              <w:bottom w:val="nil"/>
              <w:right w:val="nil"/>
            </w:tcBorders>
            <w:shd w:val="clear" w:color="auto" w:fill="auto"/>
            <w:noWrap/>
            <w:vAlign w:val="center"/>
          </w:tcPr>
          <w:p w14:paraId="55F01178" w14:textId="4F3E70BA" w:rsidR="00A02660" w:rsidRPr="00FA6A83" w:rsidRDefault="00A02660" w:rsidP="00C32DBE">
            <w:pPr>
              <w:widowControl/>
              <w:jc w:val="left"/>
              <w:rPr>
                <w:rFonts w:ascii="游ゴシック" w:eastAsia="游ゴシック" w:hAnsi="游ゴシック" w:cs="ＭＳ Ｐゴシック"/>
                <w:color w:val="000000"/>
                <w:kern w:val="0"/>
                <w:sz w:val="20"/>
                <w:szCs w:val="20"/>
              </w:rPr>
            </w:pPr>
          </w:p>
        </w:tc>
      </w:tr>
      <w:tr w:rsidR="00A02660" w:rsidRPr="00203EBA" w14:paraId="76CA47B1" w14:textId="77777777" w:rsidTr="00CA1A56">
        <w:trPr>
          <w:trHeight w:val="400"/>
          <w:jc w:val="center"/>
        </w:trPr>
        <w:tc>
          <w:tcPr>
            <w:tcW w:w="4572" w:type="dxa"/>
            <w:tcBorders>
              <w:top w:val="nil"/>
              <w:left w:val="nil"/>
              <w:bottom w:val="nil"/>
              <w:right w:val="nil"/>
            </w:tcBorders>
            <w:shd w:val="clear" w:color="auto" w:fill="auto"/>
            <w:noWrap/>
            <w:vAlign w:val="center"/>
          </w:tcPr>
          <w:p w14:paraId="6E6C28D2" w14:textId="05CB10A9" w:rsidR="00A02660" w:rsidRPr="00FA6A83" w:rsidRDefault="00A02660" w:rsidP="00C32DBE">
            <w:pPr>
              <w:widowControl/>
              <w:jc w:val="left"/>
              <w:rPr>
                <w:rFonts w:ascii="游ゴシック" w:eastAsia="游ゴシック" w:hAnsi="游ゴシック" w:cs="ＭＳ Ｐゴシック"/>
                <w:color w:val="000000"/>
                <w:kern w:val="0"/>
                <w:sz w:val="20"/>
                <w:szCs w:val="20"/>
              </w:rPr>
            </w:pPr>
          </w:p>
        </w:tc>
        <w:tc>
          <w:tcPr>
            <w:tcW w:w="4075" w:type="dxa"/>
            <w:tcBorders>
              <w:top w:val="nil"/>
              <w:left w:val="nil"/>
              <w:bottom w:val="nil"/>
              <w:right w:val="nil"/>
            </w:tcBorders>
            <w:shd w:val="clear" w:color="auto" w:fill="auto"/>
            <w:noWrap/>
            <w:vAlign w:val="center"/>
          </w:tcPr>
          <w:p w14:paraId="4666F4CD" w14:textId="3FF3C4A0" w:rsidR="00A02660" w:rsidRPr="00FA6A83" w:rsidRDefault="00A02660" w:rsidP="00C32DBE">
            <w:pPr>
              <w:widowControl/>
              <w:jc w:val="left"/>
              <w:rPr>
                <w:rFonts w:ascii="游ゴシック" w:eastAsia="游ゴシック" w:hAnsi="游ゴシック" w:cs="ＭＳ Ｐゴシック"/>
                <w:color w:val="000000"/>
                <w:kern w:val="0"/>
                <w:sz w:val="20"/>
                <w:szCs w:val="20"/>
              </w:rPr>
            </w:pPr>
          </w:p>
        </w:tc>
      </w:tr>
    </w:tbl>
    <w:p w14:paraId="492D4EBB" w14:textId="77777777" w:rsidR="00A02660" w:rsidRPr="00717FDF" w:rsidRDefault="00A02660" w:rsidP="00A02660">
      <w:pPr>
        <w:jc w:val="left"/>
        <w:rPr>
          <w:color w:val="000000" w:themeColor="text1"/>
        </w:rPr>
      </w:pPr>
    </w:p>
    <w:p w14:paraId="363368C5" w14:textId="77777777" w:rsidR="00A02660" w:rsidRPr="00A02660" w:rsidRDefault="00A02660" w:rsidP="00A02660">
      <w:pPr>
        <w:jc w:val="left"/>
        <w:rPr>
          <w:color w:val="000000" w:themeColor="text1"/>
        </w:rPr>
      </w:pPr>
    </w:p>
    <w:sectPr w:rsidR="00A02660" w:rsidRPr="00A02660" w:rsidSect="00A95EFA">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7103E" w14:textId="77777777" w:rsidR="00291FFF" w:rsidRDefault="00291FFF" w:rsidP="00F14E00">
      <w:r>
        <w:separator/>
      </w:r>
    </w:p>
  </w:endnote>
  <w:endnote w:type="continuationSeparator" w:id="0">
    <w:p w14:paraId="3724A6D0" w14:textId="77777777" w:rsidR="00291FFF" w:rsidRDefault="00291FFF" w:rsidP="00F1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F7FC3" w14:textId="77777777" w:rsidR="00291FFF" w:rsidRDefault="00291FFF" w:rsidP="00F14E00">
      <w:r>
        <w:separator/>
      </w:r>
    </w:p>
  </w:footnote>
  <w:footnote w:type="continuationSeparator" w:id="0">
    <w:p w14:paraId="12F2A973" w14:textId="77777777" w:rsidR="00291FFF" w:rsidRDefault="00291FFF" w:rsidP="00F14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F75A1"/>
    <w:multiLevelType w:val="multilevel"/>
    <w:tmpl w:val="2AB6F4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0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50D2457E"/>
    <w:multiLevelType w:val="multilevel"/>
    <w:tmpl w:val="C00E4A70"/>
    <w:lvl w:ilvl="0">
      <w:start w:val="1"/>
      <w:numFmt w:val="decimal"/>
      <w:lvlText w:val="%1."/>
      <w:lvlJc w:val="left"/>
      <w:pPr>
        <w:ind w:left="425" w:hanging="425"/>
      </w:pPr>
    </w:lvl>
    <w:lvl w:ilvl="1">
      <w:start w:val="1"/>
      <w:numFmt w:val="decimal"/>
      <w:pStyle w:val="02"/>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58A042AF"/>
    <w:multiLevelType w:val="multilevel"/>
    <w:tmpl w:val="31363D0A"/>
    <w:lvl w:ilvl="0">
      <w:start w:val="1"/>
      <w:numFmt w:val="decimal"/>
      <w:pStyle w:val="01"/>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6D011041"/>
    <w:multiLevelType w:val="hybridMultilevel"/>
    <w:tmpl w:val="D64252DE"/>
    <w:lvl w:ilvl="0" w:tplc="330CADB0">
      <w:start w:val="1"/>
      <w:numFmt w:val="decimal"/>
      <w:pStyle w:val="2"/>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8F08B9"/>
    <w:multiLevelType w:val="hybridMultilevel"/>
    <w:tmpl w:val="A96E7F9C"/>
    <w:lvl w:ilvl="0" w:tplc="20142370">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72"/>
    <w:rsid w:val="00092FBF"/>
    <w:rsid w:val="000F51B3"/>
    <w:rsid w:val="001018DF"/>
    <w:rsid w:val="00160EF1"/>
    <w:rsid w:val="001639F3"/>
    <w:rsid w:val="001B1D73"/>
    <w:rsid w:val="001B5A8B"/>
    <w:rsid w:val="001F578F"/>
    <w:rsid w:val="00203EBA"/>
    <w:rsid w:val="002232BA"/>
    <w:rsid w:val="00250F2F"/>
    <w:rsid w:val="00291FFF"/>
    <w:rsid w:val="003A03EA"/>
    <w:rsid w:val="00401208"/>
    <w:rsid w:val="00422A72"/>
    <w:rsid w:val="00454603"/>
    <w:rsid w:val="00497409"/>
    <w:rsid w:val="004B6532"/>
    <w:rsid w:val="00506FFD"/>
    <w:rsid w:val="00592923"/>
    <w:rsid w:val="006056B0"/>
    <w:rsid w:val="0063256B"/>
    <w:rsid w:val="006C1DAC"/>
    <w:rsid w:val="006F66A5"/>
    <w:rsid w:val="00717FDF"/>
    <w:rsid w:val="00723A57"/>
    <w:rsid w:val="00746EC1"/>
    <w:rsid w:val="007501CF"/>
    <w:rsid w:val="00770387"/>
    <w:rsid w:val="00775629"/>
    <w:rsid w:val="0077740D"/>
    <w:rsid w:val="00786114"/>
    <w:rsid w:val="007E66E3"/>
    <w:rsid w:val="00840651"/>
    <w:rsid w:val="00893661"/>
    <w:rsid w:val="008F7378"/>
    <w:rsid w:val="009E3A7F"/>
    <w:rsid w:val="00A01976"/>
    <w:rsid w:val="00A02660"/>
    <w:rsid w:val="00A7573B"/>
    <w:rsid w:val="00A95EFA"/>
    <w:rsid w:val="00B331B2"/>
    <w:rsid w:val="00BB45C7"/>
    <w:rsid w:val="00BD670F"/>
    <w:rsid w:val="00C0660A"/>
    <w:rsid w:val="00C807E8"/>
    <w:rsid w:val="00C82C75"/>
    <w:rsid w:val="00C87777"/>
    <w:rsid w:val="00C91D35"/>
    <w:rsid w:val="00CA1A56"/>
    <w:rsid w:val="00CC31FD"/>
    <w:rsid w:val="00CF16D1"/>
    <w:rsid w:val="00D148C3"/>
    <w:rsid w:val="00DA6A2E"/>
    <w:rsid w:val="00DB5651"/>
    <w:rsid w:val="00E64408"/>
    <w:rsid w:val="00E726FD"/>
    <w:rsid w:val="00EB2B69"/>
    <w:rsid w:val="00EF6655"/>
    <w:rsid w:val="00F07F1B"/>
    <w:rsid w:val="00F14E00"/>
    <w:rsid w:val="00F6528E"/>
    <w:rsid w:val="00FA6A83"/>
    <w:rsid w:val="00FF7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9C35AC"/>
  <w15:chartTrackingRefBased/>
  <w15:docId w15:val="{33F3723E-6A6B-EE45-B89F-BE5036F8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rsid w:val="00E726FD"/>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rsid w:val="00E726FD"/>
    <w:pPr>
      <w:keepNext/>
      <w:numPr>
        <w:numId w:val="2"/>
      </w:numPr>
      <w:outlineLvl w:val="1"/>
    </w:pPr>
    <w:rPr>
      <w:rFonts w:asciiTheme="majorHAnsi" w:eastAsiaTheme="majorEastAsia" w:hAnsiTheme="majorHAnsi" w:cstheme="majorBidi"/>
    </w:rPr>
  </w:style>
  <w:style w:type="paragraph" w:styleId="3">
    <w:name w:val="heading 3"/>
    <w:basedOn w:val="a"/>
    <w:next w:val="a"/>
    <w:link w:val="30"/>
    <w:uiPriority w:val="9"/>
    <w:unhideWhenUsed/>
    <w:rsid w:val="00E726F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26FD"/>
    <w:rPr>
      <w:rFonts w:asciiTheme="majorHAnsi" w:eastAsiaTheme="majorEastAsia" w:hAnsiTheme="majorHAnsi" w:cstheme="majorBidi"/>
      <w:sz w:val="24"/>
      <w:szCs w:val="24"/>
    </w:rPr>
  </w:style>
  <w:style w:type="character" w:customStyle="1" w:styleId="20">
    <w:name w:val="見出し 2 (文字)"/>
    <w:basedOn w:val="a0"/>
    <w:link w:val="2"/>
    <w:uiPriority w:val="9"/>
    <w:rsid w:val="00E726FD"/>
    <w:rPr>
      <w:rFonts w:asciiTheme="majorHAnsi" w:eastAsiaTheme="majorEastAsia" w:hAnsiTheme="majorHAnsi" w:cstheme="majorBidi"/>
    </w:rPr>
  </w:style>
  <w:style w:type="character" w:customStyle="1" w:styleId="30">
    <w:name w:val="見出し 3 (文字)"/>
    <w:basedOn w:val="a0"/>
    <w:link w:val="3"/>
    <w:uiPriority w:val="9"/>
    <w:rsid w:val="00E726FD"/>
    <w:rPr>
      <w:rFonts w:asciiTheme="majorHAnsi" w:eastAsiaTheme="majorEastAsia" w:hAnsiTheme="majorHAnsi" w:cstheme="majorBidi"/>
    </w:rPr>
  </w:style>
  <w:style w:type="paragraph" w:customStyle="1" w:styleId="00">
    <w:name w:val="00本文"/>
    <w:basedOn w:val="a"/>
    <w:link w:val="000"/>
    <w:qFormat/>
    <w:rsid w:val="00E726FD"/>
    <w:pPr>
      <w:ind w:firstLineChars="100" w:firstLine="210"/>
    </w:pPr>
  </w:style>
  <w:style w:type="paragraph" w:customStyle="1" w:styleId="01">
    <w:name w:val="01章"/>
    <w:basedOn w:val="1"/>
    <w:link w:val="010"/>
    <w:qFormat/>
    <w:rsid w:val="007501CF"/>
    <w:pPr>
      <w:numPr>
        <w:numId w:val="3"/>
      </w:numPr>
    </w:pPr>
  </w:style>
  <w:style w:type="character" w:customStyle="1" w:styleId="000">
    <w:name w:val="00本文 (文字)"/>
    <w:basedOn w:val="a0"/>
    <w:link w:val="00"/>
    <w:rsid w:val="00E726FD"/>
  </w:style>
  <w:style w:type="paragraph" w:customStyle="1" w:styleId="02">
    <w:name w:val="02節"/>
    <w:basedOn w:val="2"/>
    <w:link w:val="020"/>
    <w:qFormat/>
    <w:rsid w:val="007501CF"/>
    <w:pPr>
      <w:numPr>
        <w:ilvl w:val="1"/>
        <w:numId w:val="4"/>
      </w:numPr>
    </w:pPr>
  </w:style>
  <w:style w:type="character" w:customStyle="1" w:styleId="010">
    <w:name w:val="01章 (文字)"/>
    <w:basedOn w:val="10"/>
    <w:link w:val="01"/>
    <w:rsid w:val="007501CF"/>
    <w:rPr>
      <w:rFonts w:asciiTheme="majorHAnsi" w:eastAsiaTheme="majorEastAsia" w:hAnsiTheme="majorHAnsi" w:cstheme="majorBidi"/>
      <w:sz w:val="24"/>
      <w:szCs w:val="24"/>
    </w:rPr>
  </w:style>
  <w:style w:type="paragraph" w:customStyle="1" w:styleId="03">
    <w:name w:val="03項"/>
    <w:basedOn w:val="3"/>
    <w:link w:val="030"/>
    <w:qFormat/>
    <w:rsid w:val="007501CF"/>
    <w:pPr>
      <w:numPr>
        <w:ilvl w:val="2"/>
        <w:numId w:val="5"/>
      </w:numPr>
      <w:ind w:leftChars="0" w:left="0"/>
    </w:pPr>
  </w:style>
  <w:style w:type="character" w:customStyle="1" w:styleId="020">
    <w:name w:val="02節 (文字)"/>
    <w:basedOn w:val="20"/>
    <w:link w:val="02"/>
    <w:rsid w:val="007501CF"/>
    <w:rPr>
      <w:rFonts w:asciiTheme="majorHAnsi" w:eastAsiaTheme="majorEastAsia" w:hAnsiTheme="majorHAnsi" w:cstheme="majorBidi"/>
    </w:rPr>
  </w:style>
  <w:style w:type="character" w:customStyle="1" w:styleId="030">
    <w:name w:val="03項 (文字)"/>
    <w:basedOn w:val="30"/>
    <w:link w:val="03"/>
    <w:rsid w:val="007501CF"/>
    <w:rPr>
      <w:rFonts w:asciiTheme="majorHAnsi" w:eastAsiaTheme="majorEastAsia" w:hAnsiTheme="majorHAnsi" w:cstheme="majorBidi"/>
    </w:rPr>
  </w:style>
  <w:style w:type="paragraph" w:styleId="a3">
    <w:name w:val="header"/>
    <w:basedOn w:val="a"/>
    <w:link w:val="a4"/>
    <w:uiPriority w:val="99"/>
    <w:unhideWhenUsed/>
    <w:rsid w:val="00F14E00"/>
    <w:pPr>
      <w:tabs>
        <w:tab w:val="center" w:pos="4252"/>
        <w:tab w:val="right" w:pos="8504"/>
      </w:tabs>
      <w:snapToGrid w:val="0"/>
    </w:pPr>
  </w:style>
  <w:style w:type="character" w:customStyle="1" w:styleId="a4">
    <w:name w:val="ヘッダー (文字)"/>
    <w:basedOn w:val="a0"/>
    <w:link w:val="a3"/>
    <w:uiPriority w:val="99"/>
    <w:rsid w:val="00F14E00"/>
  </w:style>
  <w:style w:type="paragraph" w:styleId="a5">
    <w:name w:val="footer"/>
    <w:basedOn w:val="a"/>
    <w:link w:val="a6"/>
    <w:uiPriority w:val="99"/>
    <w:unhideWhenUsed/>
    <w:rsid w:val="00F14E00"/>
    <w:pPr>
      <w:tabs>
        <w:tab w:val="center" w:pos="4252"/>
        <w:tab w:val="right" w:pos="8504"/>
      </w:tabs>
      <w:snapToGrid w:val="0"/>
    </w:pPr>
  </w:style>
  <w:style w:type="character" w:customStyle="1" w:styleId="a6">
    <w:name w:val="フッター (文字)"/>
    <w:basedOn w:val="a0"/>
    <w:link w:val="a5"/>
    <w:uiPriority w:val="99"/>
    <w:rsid w:val="00F14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48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Bruna Colors">
      <a:dk1>
        <a:sysClr val="windowText" lastClr="000000"/>
      </a:dk1>
      <a:lt1>
        <a:sysClr val="window" lastClr="FFFFFF"/>
      </a:lt1>
      <a:dk2>
        <a:srgbClr val="080000"/>
      </a:dk2>
      <a:lt2>
        <a:srgbClr val="737061"/>
      </a:lt2>
      <a:accent1>
        <a:srgbClr val="88593B"/>
      </a:accent1>
      <a:accent2>
        <a:srgbClr val="EA5415"/>
      </a:accent2>
      <a:accent3>
        <a:srgbClr val="EE7701"/>
      </a:accent3>
      <a:accent4>
        <a:srgbClr val="EBDF00"/>
      </a:accent4>
      <a:accent5>
        <a:srgbClr val="005192"/>
      </a:accent5>
      <a:accent6>
        <a:srgbClr val="1D7A21"/>
      </a:accent6>
      <a:hlink>
        <a:srgbClr val="0563C1"/>
      </a:hlink>
      <a:folHlink>
        <a:srgbClr val="954F72"/>
      </a:folHlink>
    </a:clrScheme>
    <a:fontScheme name="研究室用">
      <a:majorFont>
        <a:latin typeface="Times New Roman"/>
        <a:ea typeface="ＭＳ 明朝"/>
        <a:cs typeface=""/>
      </a:majorFont>
      <a:minorFont>
        <a:latin typeface="Times New Roman"/>
        <a:ea typeface="ＭＳ 明朝"/>
        <a:cs typeface=""/>
        <a:font script="Jpan" typeface="游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12700">
          <a:solidFill>
            <a:schemeClr val="tx1"/>
          </a:solidFill>
        </a:ln>
      </a:spPr>
      <a:bodyPr rtlCol="0" anchor="t"/>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津越敬寿</cp:lastModifiedBy>
  <cp:revision>39</cp:revision>
  <dcterms:created xsi:type="dcterms:W3CDTF">2020-10-07T06:16:00Z</dcterms:created>
  <dcterms:modified xsi:type="dcterms:W3CDTF">2022-06-21T23:18:00Z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2022-01-19T06:08:00Z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6247c092-3939-4a0f-ba8a-0bc3244d91fc</vt:lpwstr>
  </property>
  <property fmtid="{D5CDD505-2E9C-101B-9397-08002B2CF9AE}" pid="8" name="MSIP_Label_ddc55989-3c9e-4466-8514-eac6f80f6373_ContentBits">
    <vt:lpwstr>0</vt:lpwstr>
  </property>
</Properties>
</file>