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65ADAB" w14:textId="77777777" w:rsidR="00723E05" w:rsidRPr="00DD440D" w:rsidRDefault="00723E05" w:rsidP="009C2080">
      <w:pPr>
        <w:rPr>
          <w:b/>
          <w:sz w:val="24"/>
          <w:szCs w:val="24"/>
        </w:rPr>
      </w:pPr>
      <w:r w:rsidRPr="00DD440D">
        <w:rPr>
          <w:rFonts w:hint="eastAsia"/>
          <w:b/>
          <w:sz w:val="24"/>
          <w:szCs w:val="24"/>
        </w:rPr>
        <w:t>参考資料</w:t>
      </w:r>
      <w:r w:rsidR="00E03DFB" w:rsidRPr="00DD440D">
        <w:rPr>
          <w:rFonts w:hint="eastAsia"/>
          <w:b/>
          <w:sz w:val="24"/>
          <w:szCs w:val="24"/>
        </w:rPr>
        <w:t xml:space="preserve">　不確かさ評価</w:t>
      </w:r>
      <w:r w:rsidR="00D00EF6" w:rsidRPr="00DD440D">
        <w:rPr>
          <w:rFonts w:hint="eastAsia"/>
          <w:b/>
          <w:sz w:val="24"/>
          <w:szCs w:val="24"/>
        </w:rPr>
        <w:t>シートの注記に対する</w:t>
      </w:r>
      <w:r w:rsidR="00556D86" w:rsidRPr="00DD440D">
        <w:rPr>
          <w:rFonts w:hint="eastAsia"/>
          <w:b/>
          <w:sz w:val="24"/>
          <w:szCs w:val="24"/>
        </w:rPr>
        <w:t>追加説明</w:t>
      </w:r>
    </w:p>
    <w:p w14:paraId="5FC42FE4" w14:textId="77777777" w:rsidR="00C81201" w:rsidRPr="00DD440D" w:rsidRDefault="00556D86" w:rsidP="009C2080">
      <w:r w:rsidRPr="00DD440D">
        <w:rPr>
          <w:rFonts w:hint="eastAsia"/>
        </w:rPr>
        <w:t>結果報告ファイル（EXCEL</w:t>
      </w:r>
      <w:r w:rsidRPr="00DD440D">
        <w:t>）</w:t>
      </w:r>
      <w:r w:rsidRPr="00DD440D">
        <w:rPr>
          <w:rFonts w:hint="eastAsia"/>
        </w:rPr>
        <w:t>には、</w:t>
      </w:r>
      <w:r w:rsidR="000572AA" w:rsidRPr="00DD440D">
        <w:rPr>
          <w:rFonts w:hint="eastAsia"/>
        </w:rPr>
        <w:t>不確かさ評価のためにバジェット表（表</w:t>
      </w:r>
      <w:r w:rsidR="000572AA" w:rsidRPr="00DD440D">
        <w:t>1）とともに</w:t>
      </w:r>
      <w:r w:rsidRPr="00DD440D">
        <w:rPr>
          <w:rFonts w:hint="eastAsia"/>
        </w:rPr>
        <w:t>簡単な</w:t>
      </w:r>
      <w:r w:rsidR="000572AA" w:rsidRPr="00DD440D">
        <w:t>注</w:t>
      </w:r>
      <w:r w:rsidRPr="00DD440D">
        <w:rPr>
          <w:rFonts w:hint="eastAsia"/>
        </w:rPr>
        <w:t>を</w:t>
      </w:r>
      <w:r w:rsidR="000572AA" w:rsidRPr="00DD440D">
        <w:t>記載して</w:t>
      </w:r>
      <w:r w:rsidRPr="00DD440D">
        <w:rPr>
          <w:rFonts w:hint="eastAsia"/>
        </w:rPr>
        <w:t>いるが、前回の技能試験において関連する</w:t>
      </w:r>
      <w:r w:rsidR="000572AA" w:rsidRPr="00DD440D">
        <w:t>複数の質問を受けたので、可能な範囲で説明を加えた。</w:t>
      </w:r>
    </w:p>
    <w:p w14:paraId="046E3591" w14:textId="77777777" w:rsidR="000572AA" w:rsidRPr="00DD440D" w:rsidRDefault="000572AA" w:rsidP="009C2080"/>
    <w:p w14:paraId="1309B932" w14:textId="0716EDCC" w:rsidR="005852DC" w:rsidRPr="00DD440D" w:rsidRDefault="009C2080" w:rsidP="000572AA">
      <w:pPr>
        <w:pStyle w:val="a3"/>
        <w:numPr>
          <w:ilvl w:val="0"/>
          <w:numId w:val="2"/>
        </w:numPr>
        <w:ind w:leftChars="0"/>
      </w:pPr>
      <w:r w:rsidRPr="00DD440D">
        <w:rPr>
          <w:rFonts w:hint="eastAsia"/>
        </w:rPr>
        <w:t>注</w:t>
      </w:r>
      <w:r w:rsidRPr="00DD440D">
        <w:rPr>
          <w:rFonts w:hint="eastAsia"/>
          <w:vertAlign w:val="superscript"/>
        </w:rPr>
        <w:t>1)</w:t>
      </w:r>
      <w:r w:rsidR="005852DC" w:rsidRPr="00DD440D">
        <w:t xml:space="preserve"> </w:t>
      </w:r>
      <w:r w:rsidR="000D721B" w:rsidRPr="00DD440D">
        <w:rPr>
          <w:rFonts w:hint="eastAsia"/>
        </w:rPr>
        <w:t>ピーク効率</w:t>
      </w:r>
      <w:r w:rsidR="005852DC" w:rsidRPr="00DD440D">
        <w:t>曲線に含まれない核種</w:t>
      </w:r>
      <w:r w:rsidR="005852DC" w:rsidRPr="00DD440D">
        <w:rPr>
          <w:rFonts w:hint="eastAsia"/>
        </w:rPr>
        <w:t>（Cs-134、K-40）</w:t>
      </w:r>
      <w:r w:rsidR="005852DC" w:rsidRPr="00DD440D">
        <w:t>のピーク面積について</w:t>
      </w:r>
    </w:p>
    <w:p w14:paraId="77126B82" w14:textId="77777777" w:rsidR="005852DC" w:rsidRPr="00DD440D" w:rsidRDefault="005852DC" w:rsidP="005852DC">
      <w:r w:rsidRPr="00DD440D">
        <w:rPr>
          <w:rFonts w:hint="eastAsia"/>
        </w:rPr>
        <w:t xml:space="preserve">　該当する核種の</w:t>
      </w:r>
      <w:r w:rsidRPr="00DD440D">
        <w:t>近傍の測定点の核種の校正時のピーク面積を代用する。例えば、Cs-134（604 keV, 795 keV）</w:t>
      </w:r>
      <w:r w:rsidRPr="00DD440D">
        <w:rPr>
          <w:rFonts w:hint="eastAsia"/>
        </w:rPr>
        <w:t>の場合</w:t>
      </w:r>
      <w:r w:rsidRPr="00DD440D">
        <w:t>、Sr-85（514 keV）、Cs-137（662 keV）、Mn-54（835 keV）の高低エネルギー（604</w:t>
      </w:r>
      <w:r w:rsidR="00F54AA9" w:rsidRPr="00DD440D">
        <w:t xml:space="preserve"> </w:t>
      </w:r>
      <w:r w:rsidRPr="00DD440D">
        <w:t>ke</w:t>
      </w:r>
      <w:r w:rsidRPr="00DD440D">
        <w:rPr>
          <w:rFonts w:hint="eastAsia"/>
        </w:rPr>
        <w:t>V</w:t>
      </w:r>
      <w:r w:rsidRPr="00DD440D">
        <w:t>→514 ke</w:t>
      </w:r>
      <w:r w:rsidRPr="00DD440D">
        <w:rPr>
          <w:rFonts w:hint="eastAsia"/>
        </w:rPr>
        <w:t>V</w:t>
      </w:r>
      <w:r w:rsidRPr="00DD440D">
        <w:t>と662</w:t>
      </w:r>
      <w:r w:rsidR="00F54AA9" w:rsidRPr="00DD440D">
        <w:t xml:space="preserve"> </w:t>
      </w:r>
      <w:r w:rsidRPr="00DD440D">
        <w:t>keV、795 keV→662 keVと835 keV）の2核種の計数</w:t>
      </w:r>
      <w:r w:rsidR="000E62F1" w:rsidRPr="00DD440D">
        <w:rPr>
          <w:rFonts w:hint="eastAsia"/>
        </w:rPr>
        <w:t>値</w:t>
      </w:r>
      <w:r w:rsidRPr="00DD440D">
        <w:t>の大きい</w:t>
      </w:r>
      <w:r w:rsidR="00E83CCA" w:rsidRPr="00DD440D">
        <w:rPr>
          <w:rFonts w:hint="eastAsia"/>
        </w:rPr>
        <w:t>方</w:t>
      </w:r>
      <w:r w:rsidRPr="00DD440D">
        <w:t>を用いる。</w:t>
      </w:r>
    </w:p>
    <w:p w14:paraId="18B34AD9" w14:textId="77777777" w:rsidR="00712864" w:rsidRPr="00DD440D" w:rsidRDefault="00712864" w:rsidP="00C81EDC"/>
    <w:p w14:paraId="314B1A9C" w14:textId="38E6FD16" w:rsidR="00C81EDC" w:rsidRPr="00DD440D" w:rsidRDefault="00712864" w:rsidP="00C81EDC">
      <w:r w:rsidRPr="00DD440D">
        <w:rPr>
          <w:rFonts w:hint="eastAsia"/>
          <w:u w:val="single"/>
        </w:rPr>
        <w:t>説明</w:t>
      </w:r>
      <w:r w:rsidRPr="00DD440D">
        <w:rPr>
          <w:rFonts w:hint="eastAsia"/>
        </w:rPr>
        <w:t>：</w:t>
      </w:r>
      <w:r w:rsidR="00C81EDC" w:rsidRPr="00DD440D">
        <w:rPr>
          <w:rFonts w:hint="eastAsia"/>
        </w:rPr>
        <w:t>例えば、“</w:t>
      </w:r>
      <w:r w:rsidR="00C81EDC" w:rsidRPr="00DD440D">
        <w:t>604 ke</w:t>
      </w:r>
      <w:r w:rsidR="00C81EDC" w:rsidRPr="00DD440D">
        <w:rPr>
          <w:rFonts w:hint="eastAsia"/>
        </w:rPr>
        <w:t>V</w:t>
      </w:r>
      <w:r w:rsidR="00C81EDC" w:rsidRPr="00DD440D">
        <w:t>→514 keVと662 keV</w:t>
      </w:r>
      <w:r w:rsidR="00C81EDC" w:rsidRPr="00DD440D">
        <w:rPr>
          <w:rFonts w:hint="eastAsia"/>
        </w:rPr>
        <w:t>”は、604</w:t>
      </w:r>
      <w:r w:rsidR="00C81EDC" w:rsidRPr="00DD440D">
        <w:t xml:space="preserve"> </w:t>
      </w:r>
      <w:r w:rsidR="00C81EDC" w:rsidRPr="00DD440D">
        <w:rPr>
          <w:rFonts w:hint="eastAsia"/>
        </w:rPr>
        <w:t>keV近傍のCs-134のピークについては、</w:t>
      </w:r>
      <w:r w:rsidR="000D721B" w:rsidRPr="00DD440D">
        <w:rPr>
          <w:rFonts w:hint="eastAsia"/>
        </w:rPr>
        <w:t>ピーク効率</w:t>
      </w:r>
      <w:r w:rsidR="00C81EDC" w:rsidRPr="00DD440D">
        <w:rPr>
          <w:rFonts w:hint="eastAsia"/>
        </w:rPr>
        <w:t>曲線に含まれる</w:t>
      </w:r>
      <w:r w:rsidR="00C81EDC" w:rsidRPr="00DD440D">
        <w:t>514 ke</w:t>
      </w:r>
      <w:r w:rsidR="00C81EDC" w:rsidRPr="00DD440D">
        <w:rPr>
          <w:rFonts w:hint="eastAsia"/>
        </w:rPr>
        <w:t>V（S</w:t>
      </w:r>
      <w:r w:rsidR="00C81EDC" w:rsidRPr="00DD440D">
        <w:t>r-85</w:t>
      </w:r>
      <w:r w:rsidR="00C81EDC" w:rsidRPr="00DD440D">
        <w:rPr>
          <w:rFonts w:hint="eastAsia"/>
        </w:rPr>
        <w:t>）</w:t>
      </w:r>
      <w:r w:rsidR="00C81EDC" w:rsidRPr="00DD440D">
        <w:t>と662 keV</w:t>
      </w:r>
      <w:r w:rsidR="00C81EDC" w:rsidRPr="00DD440D">
        <w:rPr>
          <w:rFonts w:hint="eastAsia"/>
        </w:rPr>
        <w:t>（C</w:t>
      </w:r>
      <w:r w:rsidR="00C81EDC" w:rsidRPr="00DD440D">
        <w:t>s-137</w:t>
      </w:r>
      <w:r w:rsidR="00C81EDC" w:rsidRPr="00DD440D">
        <w:rPr>
          <w:rFonts w:hint="eastAsia"/>
        </w:rPr>
        <w:t>）のピークを考慮することを意味する。）</w:t>
      </w:r>
    </w:p>
    <w:p w14:paraId="294899DB" w14:textId="77777777" w:rsidR="009C2080" w:rsidRPr="00DD440D" w:rsidRDefault="009C2080" w:rsidP="009C2080"/>
    <w:p w14:paraId="61432F76" w14:textId="380810DE" w:rsidR="005852DC" w:rsidRPr="00DD440D" w:rsidRDefault="009C2080" w:rsidP="000572AA">
      <w:pPr>
        <w:pStyle w:val="a3"/>
        <w:numPr>
          <w:ilvl w:val="0"/>
          <w:numId w:val="2"/>
        </w:numPr>
        <w:ind w:leftChars="0"/>
      </w:pPr>
      <w:r w:rsidRPr="00DD440D">
        <w:rPr>
          <w:rFonts w:hint="eastAsia"/>
        </w:rPr>
        <w:t>注</w:t>
      </w:r>
      <w:r w:rsidRPr="00DD440D">
        <w:rPr>
          <w:rFonts w:hint="eastAsia"/>
          <w:vertAlign w:val="superscript"/>
        </w:rPr>
        <w:t>2)</w:t>
      </w:r>
      <w:r w:rsidRPr="00DD440D">
        <w:rPr>
          <w:rFonts w:hint="eastAsia"/>
        </w:rPr>
        <w:t xml:space="preserve">　</w:t>
      </w:r>
      <w:r w:rsidR="00566B39" w:rsidRPr="00DD440D">
        <w:rPr>
          <w:rFonts w:hint="eastAsia"/>
        </w:rPr>
        <w:t xml:space="preserve"> </w:t>
      </w:r>
      <w:r w:rsidR="000D721B" w:rsidRPr="00DD440D">
        <w:rPr>
          <w:rFonts w:hint="eastAsia"/>
        </w:rPr>
        <w:t>ピーク効率</w:t>
      </w:r>
      <w:r w:rsidR="005852DC" w:rsidRPr="00DD440D">
        <w:t>曲線に含まれない核種</w:t>
      </w:r>
      <w:r w:rsidR="005852DC" w:rsidRPr="00DD440D">
        <w:rPr>
          <w:rFonts w:hint="eastAsia"/>
        </w:rPr>
        <w:t>（Cs-134、K-40）</w:t>
      </w:r>
      <w:r w:rsidR="005852DC" w:rsidRPr="00DD440D">
        <w:t>に対する</w:t>
      </w:r>
      <w:r w:rsidR="000D721B" w:rsidRPr="00DD440D">
        <w:rPr>
          <w:rFonts w:hint="eastAsia"/>
        </w:rPr>
        <w:t>ピーク効率</w:t>
      </w:r>
      <w:r w:rsidR="005852DC" w:rsidRPr="00DD440D">
        <w:t>の不確かさについて</w:t>
      </w:r>
    </w:p>
    <w:p w14:paraId="6980B7F4" w14:textId="77777777" w:rsidR="005852DC" w:rsidRPr="00DD440D" w:rsidRDefault="005852DC" w:rsidP="005852DC">
      <w:pPr>
        <w:ind w:firstLineChars="100" w:firstLine="210"/>
      </w:pPr>
      <w:r w:rsidRPr="00DD440D">
        <w:rPr>
          <w:rFonts w:hint="eastAsia"/>
        </w:rPr>
        <w:t>該当する核種の近傍の測定点の核種のフイッティングの残差を使って評価する。例えば、</w:t>
      </w:r>
      <w:r w:rsidRPr="00DD440D">
        <w:t>Cs-134（604 keV, 795 keV）の場合は、Sr-85（514 keV）、Cs-137（662 keV）、Mn-54（835 keV）の高低エネルギー（604ke</w:t>
      </w:r>
      <w:r w:rsidR="008F6D87" w:rsidRPr="00DD440D">
        <w:rPr>
          <w:rFonts w:hint="eastAsia"/>
        </w:rPr>
        <w:t>V</w:t>
      </w:r>
      <w:r w:rsidRPr="00DD440D">
        <w:t>→514 ke</w:t>
      </w:r>
      <w:r w:rsidR="00F54AA9" w:rsidRPr="00DD440D">
        <w:t>V</w:t>
      </w:r>
      <w:r w:rsidRPr="00DD440D">
        <w:t>と662keV、795 keV→662 keVと835 keV）の</w:t>
      </w:r>
      <w:bookmarkStart w:id="0" w:name="_GoBack"/>
      <w:bookmarkEnd w:id="0"/>
      <w:r w:rsidRPr="00DD440D">
        <w:t>2核種の残差の大きい</w:t>
      </w:r>
      <w:r w:rsidRPr="00DD440D">
        <w:rPr>
          <w:rFonts w:hint="eastAsia"/>
        </w:rPr>
        <w:t>方</w:t>
      </w:r>
      <w:r w:rsidRPr="00DD440D">
        <w:t>を用いる。同様に、K-40はCo-60とY-88の差分を代用する。</w:t>
      </w:r>
    </w:p>
    <w:p w14:paraId="0A1DEFAC" w14:textId="77777777" w:rsidR="00C81EDC" w:rsidRPr="00DD440D" w:rsidRDefault="00C81EDC" w:rsidP="005852DC"/>
    <w:p w14:paraId="39805FC5" w14:textId="67C5C40C" w:rsidR="008F6D87" w:rsidRPr="00DD440D" w:rsidRDefault="00252659" w:rsidP="005852DC">
      <w:pPr>
        <w:rPr>
          <w:u w:val="single"/>
        </w:rPr>
      </w:pPr>
      <w:r w:rsidRPr="00DD440D">
        <w:rPr>
          <w:rFonts w:hint="eastAsia"/>
          <w:u w:val="single"/>
        </w:rPr>
        <w:t>説明</w:t>
      </w:r>
      <w:r w:rsidR="008F6D87" w:rsidRPr="00DD440D">
        <w:rPr>
          <w:rFonts w:hint="eastAsia"/>
          <w:u w:val="single"/>
        </w:rPr>
        <w:t>：多核種標準線源（充てん高さ50㎜）</w:t>
      </w:r>
      <w:r w:rsidR="006B4116" w:rsidRPr="00DD440D">
        <w:rPr>
          <w:rFonts w:hint="eastAsia"/>
          <w:u w:val="single"/>
        </w:rPr>
        <w:t>を用いた</w:t>
      </w:r>
      <w:r w:rsidR="000D721B" w:rsidRPr="00DD440D">
        <w:rPr>
          <w:rFonts w:hint="eastAsia"/>
          <w:u w:val="single"/>
        </w:rPr>
        <w:t>ピーク効率</w:t>
      </w:r>
      <w:r w:rsidR="008F6D87" w:rsidRPr="00DD440D">
        <w:rPr>
          <w:rFonts w:hint="eastAsia"/>
          <w:u w:val="single"/>
        </w:rPr>
        <w:t>曲線</w:t>
      </w:r>
      <w:r w:rsidR="006B4116" w:rsidRPr="00DD440D">
        <w:rPr>
          <w:rFonts w:hint="eastAsia"/>
          <w:u w:val="single"/>
        </w:rPr>
        <w:t>の</w:t>
      </w:r>
      <w:r w:rsidR="008F6D87" w:rsidRPr="00DD440D">
        <w:rPr>
          <w:rFonts w:hint="eastAsia"/>
          <w:u w:val="single"/>
        </w:rPr>
        <w:t>評価事例に</w:t>
      </w:r>
      <w:r w:rsidRPr="00DD440D">
        <w:rPr>
          <w:rFonts w:hint="eastAsia"/>
          <w:u w:val="single"/>
        </w:rPr>
        <w:t>基づいて</w:t>
      </w:r>
    </w:p>
    <w:p w14:paraId="0CE6CA95" w14:textId="2CCA4BAC" w:rsidR="008F6D87" w:rsidRPr="00DD440D" w:rsidRDefault="008F6D87" w:rsidP="005852DC">
      <w:r w:rsidRPr="00DD440D">
        <w:rPr>
          <w:rFonts w:hint="eastAsia"/>
        </w:rPr>
        <w:t xml:space="preserve">　充てん高さが異なる標準線源を用いて</w:t>
      </w:r>
      <w:r w:rsidR="000D721B" w:rsidRPr="00DD440D">
        <w:rPr>
          <w:rFonts w:hint="eastAsia"/>
        </w:rPr>
        <w:t>ピーク効率</w:t>
      </w:r>
      <w:r w:rsidRPr="00DD440D">
        <w:rPr>
          <w:rFonts w:hint="eastAsia"/>
        </w:rPr>
        <w:t>や充てん高さの効果を評価すると、あるメー</w:t>
      </w:r>
      <w:r w:rsidR="000D721B" w:rsidRPr="00DD440D">
        <w:rPr>
          <w:rFonts w:hint="eastAsia"/>
        </w:rPr>
        <w:t>カ</w:t>
      </w:r>
      <w:r w:rsidRPr="00DD440D">
        <w:rPr>
          <w:rFonts w:hint="eastAsia"/>
        </w:rPr>
        <w:t>の測定</w:t>
      </w:r>
      <w:r w:rsidR="000D721B" w:rsidRPr="00DD440D">
        <w:rPr>
          <w:rFonts w:hint="eastAsia"/>
        </w:rPr>
        <w:t>器</w:t>
      </w:r>
      <w:r w:rsidRPr="00DD440D">
        <w:rPr>
          <w:rFonts w:hint="eastAsia"/>
        </w:rPr>
        <w:t>では50mm高さの線源について図</w:t>
      </w:r>
      <w:r w:rsidR="00414C70" w:rsidRPr="00DD440D">
        <w:rPr>
          <w:rFonts w:hint="eastAsia"/>
        </w:rPr>
        <w:t>2</w:t>
      </w:r>
      <w:r w:rsidRPr="00DD440D">
        <w:rPr>
          <w:rFonts w:hint="eastAsia"/>
        </w:rPr>
        <w:t>のような結果が得られる。一等、下方の表で、校正差（％）とあるが</w:t>
      </w:r>
      <w:r w:rsidR="00712864" w:rsidRPr="00DD440D">
        <w:rPr>
          <w:rFonts w:hint="eastAsia"/>
        </w:rPr>
        <w:t>（赤線で囲われた部分）</w:t>
      </w:r>
      <w:r w:rsidRPr="00DD440D">
        <w:rPr>
          <w:rFonts w:hint="eastAsia"/>
        </w:rPr>
        <w:t>、この値は核種ごとのエネルギーにおける</w:t>
      </w:r>
      <w:r w:rsidR="000D721B" w:rsidRPr="00DD440D">
        <w:rPr>
          <w:rFonts w:hint="eastAsia"/>
        </w:rPr>
        <w:t>ピーク効率</w:t>
      </w:r>
      <w:r w:rsidRPr="00DD440D">
        <w:rPr>
          <w:rFonts w:hint="eastAsia"/>
        </w:rPr>
        <w:t>の実測値と関数フイットした近似値の差を相対値で表示したものである。</w:t>
      </w:r>
    </w:p>
    <w:p w14:paraId="0CF66A95" w14:textId="57DF9BD7" w:rsidR="008F6D87" w:rsidRPr="00DD440D" w:rsidRDefault="008F6D87" w:rsidP="005852DC">
      <w:r w:rsidRPr="00DD440D">
        <w:rPr>
          <w:rFonts w:hint="eastAsia"/>
        </w:rPr>
        <w:t xml:space="preserve">　したがって、注</w:t>
      </w:r>
      <w:r w:rsidRPr="00DD440D">
        <w:rPr>
          <w:rFonts w:hint="eastAsia"/>
          <w:vertAlign w:val="superscript"/>
        </w:rPr>
        <w:t>2)</w:t>
      </w:r>
      <w:r w:rsidRPr="00DD440D">
        <w:rPr>
          <w:rFonts w:hint="eastAsia"/>
        </w:rPr>
        <w:t>の指示は、</w:t>
      </w:r>
      <w:r w:rsidR="00252659" w:rsidRPr="00DD440D">
        <w:t>Cs-134（604 keV）の場合はSr-85（514 keV）</w:t>
      </w:r>
      <w:r w:rsidR="00252659" w:rsidRPr="00DD440D">
        <w:rPr>
          <w:rFonts w:hint="eastAsia"/>
        </w:rPr>
        <w:t>及び</w:t>
      </w:r>
      <w:r w:rsidR="00252659" w:rsidRPr="00DD440D">
        <w:t>Cs-137（662 keV）</w:t>
      </w:r>
      <w:r w:rsidR="00252659" w:rsidRPr="00DD440D">
        <w:rPr>
          <w:rFonts w:hint="eastAsia"/>
        </w:rPr>
        <w:t>の校正差（％）で大きい方、すなわちここでは絶対値を比較して1.6141</w:t>
      </w:r>
      <w:r w:rsidR="00712864" w:rsidRPr="00DD440D">
        <w:rPr>
          <w:rFonts w:hint="eastAsia"/>
        </w:rPr>
        <w:t>（Sr-85の校正差）</w:t>
      </w:r>
      <w:r w:rsidR="00252659" w:rsidRPr="00DD440D">
        <w:rPr>
          <w:rFonts w:hint="eastAsia"/>
        </w:rPr>
        <w:t>を用いることになる。これを</w:t>
      </w:r>
      <m:oMath>
        <m:rad>
          <m:radPr>
            <m:degHide m:val="1"/>
            <m:ctrlPr>
              <w:rPr>
                <w:rFonts w:ascii="Cambria Math" w:hAnsi="Cambria Math"/>
              </w:rPr>
            </m:ctrlPr>
          </m:radPr>
          <m:deg/>
          <m:e>
            <m:r>
              <w:rPr>
                <w:rFonts w:ascii="Cambria Math" w:hAnsi="Cambria Math"/>
              </w:rPr>
              <m:t>3</m:t>
            </m:r>
          </m:e>
        </m:rad>
      </m:oMath>
      <w:r w:rsidR="00252659" w:rsidRPr="00DD440D">
        <w:rPr>
          <w:rFonts w:hint="eastAsia"/>
        </w:rPr>
        <w:t>で割ったものを標準不確かさと</w:t>
      </w:r>
      <w:r w:rsidR="00566B39" w:rsidRPr="00DD440D">
        <w:rPr>
          <w:rFonts w:hint="eastAsia"/>
        </w:rPr>
        <w:t>評価</w:t>
      </w:r>
      <w:r w:rsidR="00252659" w:rsidRPr="00DD440D">
        <w:rPr>
          <w:rFonts w:hint="eastAsia"/>
        </w:rPr>
        <w:t>する。</w:t>
      </w:r>
    </w:p>
    <w:p w14:paraId="64638F4C" w14:textId="77777777" w:rsidR="00B61D9F" w:rsidRPr="00DD440D" w:rsidRDefault="00B61D9F" w:rsidP="005852DC"/>
    <w:p w14:paraId="5A7D4726" w14:textId="1E894E0B" w:rsidR="005852DC" w:rsidRPr="00DD440D" w:rsidRDefault="00C81201" w:rsidP="000572AA">
      <w:pPr>
        <w:pStyle w:val="a3"/>
        <w:numPr>
          <w:ilvl w:val="0"/>
          <w:numId w:val="2"/>
        </w:numPr>
        <w:ind w:leftChars="0"/>
      </w:pPr>
      <w:r w:rsidRPr="00DD440D">
        <w:rPr>
          <w:rFonts w:hint="eastAsia"/>
        </w:rPr>
        <w:t>注</w:t>
      </w:r>
      <w:r w:rsidRPr="00DD440D">
        <w:rPr>
          <w:rFonts w:hint="eastAsia"/>
          <w:vertAlign w:val="superscript"/>
        </w:rPr>
        <w:t>3)</w:t>
      </w:r>
      <w:r w:rsidRPr="00DD440D">
        <w:rPr>
          <w:rFonts w:hint="eastAsia"/>
        </w:rPr>
        <w:t xml:space="preserve">　</w:t>
      </w:r>
      <w:r w:rsidR="005852DC" w:rsidRPr="00DD440D">
        <w:t>同一核種との直接比較を行う場合は、</w:t>
      </w:r>
      <w:r w:rsidR="000D721B" w:rsidRPr="00DD440D">
        <w:rPr>
          <w:rFonts w:hint="eastAsia"/>
        </w:rPr>
        <w:t>ピーク効率</w:t>
      </w:r>
      <w:r w:rsidR="005852DC" w:rsidRPr="00DD440D">
        <w:t>曲線の不確かさはゼロとする。</w:t>
      </w:r>
    </w:p>
    <w:p w14:paraId="131F7644" w14:textId="77777777" w:rsidR="005852DC" w:rsidRPr="00DD440D" w:rsidRDefault="005852DC" w:rsidP="005852DC"/>
    <w:p w14:paraId="3908D30A" w14:textId="77777777" w:rsidR="00822D36" w:rsidRPr="00DD440D" w:rsidRDefault="00252659" w:rsidP="005852DC">
      <w:pPr>
        <w:rPr>
          <w:u w:val="single"/>
        </w:rPr>
      </w:pPr>
      <w:r w:rsidRPr="00DD440D">
        <w:rPr>
          <w:rFonts w:hint="eastAsia"/>
          <w:u w:val="single"/>
        </w:rPr>
        <w:t>説明：</w:t>
      </w:r>
      <w:r w:rsidR="00822D36" w:rsidRPr="00DD440D">
        <w:rPr>
          <w:u w:val="single"/>
        </w:rPr>
        <w:t>同一核種との直接比較</w:t>
      </w:r>
      <w:r w:rsidR="00822D36" w:rsidRPr="00DD440D">
        <w:rPr>
          <w:rFonts w:hint="eastAsia"/>
          <w:u w:val="single"/>
        </w:rPr>
        <w:t>について</w:t>
      </w:r>
    </w:p>
    <w:p w14:paraId="2294F349" w14:textId="32C36870" w:rsidR="00252659" w:rsidRPr="00DD440D" w:rsidRDefault="00252659" w:rsidP="00822D36">
      <w:pPr>
        <w:ind w:firstLineChars="100" w:firstLine="210"/>
      </w:pPr>
      <w:r w:rsidRPr="00DD440D">
        <w:rPr>
          <w:rFonts w:hint="eastAsia"/>
        </w:rPr>
        <w:lastRenderedPageBreak/>
        <w:t>Cs-137では、</w:t>
      </w:r>
      <w:r w:rsidR="000D721B" w:rsidRPr="00DD440D">
        <w:rPr>
          <w:rFonts w:hint="eastAsia"/>
        </w:rPr>
        <w:t>ピーク効率</w:t>
      </w:r>
      <w:r w:rsidRPr="00DD440D">
        <w:rPr>
          <w:rFonts w:hint="eastAsia"/>
        </w:rPr>
        <w:t>曲線を用いずに、標準線源の測定値と未知試料の測定値を直接比較することが可能である。Cs-134を含む標準線源を所有する場合は、Cs-134についても直接比較で未知試料の放射能濃度を評価することが可能になる。この場合は、</w:t>
      </w:r>
      <w:r w:rsidR="000D721B" w:rsidRPr="00DD440D">
        <w:rPr>
          <w:rFonts w:hint="eastAsia"/>
        </w:rPr>
        <w:t>ピーク効率</w:t>
      </w:r>
      <w:r w:rsidRPr="00DD440D">
        <w:rPr>
          <w:rFonts w:hint="eastAsia"/>
        </w:rPr>
        <w:t>曲線を用いないので、バジェット表における</w:t>
      </w:r>
      <w:r w:rsidR="000D721B" w:rsidRPr="00DD440D">
        <w:rPr>
          <w:rFonts w:hint="eastAsia"/>
        </w:rPr>
        <w:t>ピーク効率</w:t>
      </w:r>
      <w:r w:rsidRPr="00DD440D">
        <w:rPr>
          <w:rFonts w:hint="eastAsia"/>
        </w:rPr>
        <w:t>曲線の不確かさは不要になるため、報告書中の表ではゼロにする。</w:t>
      </w:r>
    </w:p>
    <w:p w14:paraId="47460A64" w14:textId="77777777" w:rsidR="00252659" w:rsidRPr="00DD440D" w:rsidRDefault="00252659" w:rsidP="005852DC">
      <w:r w:rsidRPr="00DD440D">
        <w:rPr>
          <w:rFonts w:hint="eastAsia"/>
        </w:rPr>
        <w:t xml:space="preserve">　実際にこの手順を用いる場合は、自己吸収補正、サム効果補正、高さ補正などを自身で評価することになり、多くの試験所では該当しないと考えられる。報告書では直接比較の事例はなかった。</w:t>
      </w:r>
    </w:p>
    <w:p w14:paraId="6509741E" w14:textId="77777777" w:rsidR="00252659" w:rsidRPr="00DD440D" w:rsidRDefault="00252659" w:rsidP="005852DC"/>
    <w:p w14:paraId="36B8A247" w14:textId="77777777" w:rsidR="005852DC" w:rsidRPr="00DD440D" w:rsidRDefault="00C81201" w:rsidP="000572AA">
      <w:pPr>
        <w:pStyle w:val="a3"/>
        <w:numPr>
          <w:ilvl w:val="0"/>
          <w:numId w:val="2"/>
        </w:numPr>
        <w:ind w:leftChars="0"/>
      </w:pPr>
      <w:r w:rsidRPr="00DD440D">
        <w:rPr>
          <w:rFonts w:hint="eastAsia"/>
        </w:rPr>
        <w:t>注</w:t>
      </w:r>
      <w:r w:rsidRPr="00DD440D">
        <w:rPr>
          <w:rFonts w:hint="eastAsia"/>
          <w:vertAlign w:val="superscript"/>
        </w:rPr>
        <w:t>4)</w:t>
      </w:r>
      <w:r w:rsidRPr="00DD440D">
        <w:rPr>
          <w:rFonts w:hint="eastAsia"/>
        </w:rPr>
        <w:t xml:space="preserve">　</w:t>
      </w:r>
      <w:r w:rsidR="005852DC" w:rsidRPr="00DD440D">
        <w:t>Cs-134について荷重平均で放射能度を求めた場合は、下記の式を用いて放射能値（又は放射能濃度）及び付随する標準不確かさを計算する。</w:t>
      </w:r>
    </w:p>
    <w:p w14:paraId="64364F8A" w14:textId="77777777" w:rsidR="005852DC" w:rsidRPr="00DD440D" w:rsidRDefault="005852DC" w:rsidP="005852DC">
      <w:r w:rsidRPr="00DD440D">
        <w:rPr>
          <w:rFonts w:hint="eastAsia"/>
        </w:rPr>
        <w:t xml:space="preserve">　</w:t>
      </w:r>
      <w:r w:rsidR="00B14D00" w:rsidRPr="00DD440D">
        <w:rPr>
          <w:rFonts w:hint="eastAsia"/>
        </w:rPr>
        <w:t>用いる複数の放射能値（又は放射能濃度）を　A</w:t>
      </w:r>
      <w:r w:rsidR="00B14D00" w:rsidRPr="00DD440D">
        <w:rPr>
          <w:rFonts w:hint="eastAsia"/>
          <w:i/>
          <w:iCs/>
          <w:vertAlign w:val="subscript"/>
        </w:rPr>
        <w:t>i</w:t>
      </w:r>
      <w:r w:rsidR="00B14D00" w:rsidRPr="00DD440D">
        <w:rPr>
          <w:rFonts w:hint="eastAsia"/>
        </w:rPr>
        <w:t xml:space="preserve">　±　σ</w:t>
      </w:r>
      <w:r w:rsidR="00B14D00" w:rsidRPr="00DD440D">
        <w:rPr>
          <w:rFonts w:hint="eastAsia"/>
          <w:i/>
          <w:iCs/>
          <w:vertAlign w:val="subscript"/>
        </w:rPr>
        <w:t>i</w:t>
      </w:r>
      <w:r w:rsidR="00B14D00" w:rsidRPr="00DD440D">
        <w:rPr>
          <w:rFonts w:hint="eastAsia"/>
        </w:rPr>
        <w:t>とする。</w:t>
      </w:r>
    </w:p>
    <w:p w14:paraId="1296417E" w14:textId="77777777" w:rsidR="0046669A" w:rsidRPr="00DD440D" w:rsidRDefault="00B14D00" w:rsidP="005852DC">
      <w:r w:rsidRPr="00DD440D">
        <w:rPr>
          <w:rFonts w:hint="eastAsia"/>
        </w:rPr>
        <w:t xml:space="preserve">　荷重平均し</w:t>
      </w:r>
      <w:r w:rsidR="0046669A" w:rsidRPr="00DD440D">
        <w:rPr>
          <w:rFonts w:hint="eastAsia"/>
        </w:rPr>
        <w:t>て求める</w:t>
      </w:r>
      <w:r w:rsidRPr="00DD440D">
        <w:rPr>
          <w:rFonts w:hint="eastAsia"/>
        </w:rPr>
        <w:t>放射能値</w:t>
      </w:r>
      <w:r w:rsidR="0046669A" w:rsidRPr="00DD440D">
        <w:rPr>
          <w:rFonts w:hint="eastAsia"/>
        </w:rPr>
        <w:t>（又は放射能濃度）</w:t>
      </w:r>
      <w:r w:rsidRPr="00DD440D">
        <w:rPr>
          <w:rFonts w:hint="eastAsia"/>
        </w:rPr>
        <w:t>を</w:t>
      </w:r>
      <m:oMath>
        <m:sSub>
          <m:sSubPr>
            <m:ctrlPr>
              <w:rPr>
                <w:rFonts w:ascii="Cambria Math" w:hAnsi="Cambria Math"/>
              </w:rPr>
            </m:ctrlPr>
          </m:sSubPr>
          <m:e>
            <m:r>
              <w:rPr>
                <w:rFonts w:ascii="Cambria Math" w:hAnsi="Cambria Math"/>
              </w:rPr>
              <m:t>A</m:t>
            </m:r>
          </m:e>
          <m:sub>
            <m:r>
              <w:rPr>
                <w:rFonts w:ascii="Cambria Math" w:hAnsi="Cambria Math"/>
              </w:rPr>
              <m:t>X</m:t>
            </m:r>
          </m:sub>
        </m:sSub>
      </m:oMath>
      <w:r w:rsidRPr="00DD440D">
        <w:rPr>
          <w:rFonts w:hint="eastAsia"/>
        </w:rPr>
        <w:t>、標準不確かさ</w:t>
      </w:r>
      <m:oMath>
        <m:sSub>
          <m:sSubPr>
            <m:ctrlPr>
              <w:rPr>
                <w:rFonts w:ascii="Cambria Math" w:hAnsi="Cambria Math"/>
              </w:rPr>
            </m:ctrlPr>
          </m:sSubPr>
          <m:e>
            <m:r>
              <w:rPr>
                <w:rFonts w:ascii="Cambria Math" w:hAnsi="Cambria Math"/>
              </w:rPr>
              <m:t>σ</m:t>
            </m:r>
          </m:e>
          <m:sub>
            <m:r>
              <w:rPr>
                <w:rFonts w:ascii="Cambria Math" w:hAnsi="Cambria Math"/>
              </w:rPr>
              <m:t>X</m:t>
            </m:r>
          </m:sub>
        </m:sSub>
      </m:oMath>
      <w:r w:rsidRPr="00DD440D">
        <w:rPr>
          <w:rFonts w:hint="eastAsia"/>
        </w:rPr>
        <w:t>とすると、</w:t>
      </w:r>
    </w:p>
    <w:p w14:paraId="295B48E1" w14:textId="77777777" w:rsidR="00B14D00" w:rsidRPr="00DD440D" w:rsidRDefault="003F3E44" w:rsidP="0046669A">
      <w:pPr>
        <w:ind w:firstLineChars="550" w:firstLine="1155"/>
        <w:rPr>
          <w:sz w:val="22"/>
        </w:rPr>
      </w:pPr>
      <m:oMath>
        <m:sSub>
          <m:sSubPr>
            <m:ctrlPr>
              <w:rPr>
                <w:rFonts w:ascii="Cambria Math" w:hAnsi="Cambria Math"/>
              </w:rPr>
            </m:ctrlPr>
          </m:sSubPr>
          <m:e>
            <m:r>
              <w:rPr>
                <w:rFonts w:ascii="Cambria Math" w:hAnsi="Cambria Math"/>
              </w:rPr>
              <m:t>A</m:t>
            </m:r>
          </m:e>
          <m:sub>
            <m:r>
              <w:rPr>
                <w:rFonts w:ascii="Cambria Math" w:hAnsi="Cambria Math"/>
              </w:rPr>
              <m:t>X</m:t>
            </m:r>
          </m:sub>
        </m:sSub>
        <m:r>
          <w:rPr>
            <w:rFonts w:ascii="Cambria Math" w:hAnsi="Cambria Math"/>
          </w:rPr>
          <m:t>=</m:t>
        </m:r>
        <m:f>
          <m:fPr>
            <m:type m:val="skw"/>
            <m:ctrlPr>
              <w:rPr>
                <w:rFonts w:ascii="Cambria Math" w:hAnsi="Cambria Math"/>
                <w:i/>
              </w:rPr>
            </m:ctrlPr>
          </m:fPr>
          <m:num>
            <m:nary>
              <m:naryPr>
                <m:chr m:val="∑"/>
                <m:limLoc m:val="undOvr"/>
                <m:supHide m:val="1"/>
                <m:ctrlPr>
                  <w:rPr>
                    <w:rFonts w:ascii="Cambria Math" w:hAnsi="Cambria Math"/>
                    <w:i/>
                  </w:rPr>
                </m:ctrlPr>
              </m:naryPr>
              <m:sub>
                <m:r>
                  <w:rPr>
                    <w:rFonts w:ascii="Cambria Math" w:hAnsi="Cambria Math"/>
                  </w:rPr>
                  <m:t>i</m:t>
                </m:r>
              </m:sub>
              <m:sup/>
              <m:e>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i</m:t>
                        </m:r>
                      </m:sub>
                    </m:sSub>
                  </m:num>
                  <m:den>
                    <m:sSubSup>
                      <m:sSubSupPr>
                        <m:ctrlPr>
                          <w:rPr>
                            <w:rFonts w:ascii="Cambria Math" w:hAnsi="Cambria Math"/>
                            <w:i/>
                          </w:rPr>
                        </m:ctrlPr>
                      </m:sSubSupPr>
                      <m:e>
                        <m:r>
                          <w:rPr>
                            <w:rFonts w:ascii="Cambria Math" w:hAnsi="Cambria Math"/>
                          </w:rPr>
                          <m:t>σ</m:t>
                        </m:r>
                      </m:e>
                      <m:sub>
                        <m:r>
                          <w:rPr>
                            <w:rFonts w:ascii="Cambria Math" w:hAnsi="Cambria Math"/>
                          </w:rPr>
                          <m:t>i</m:t>
                        </m:r>
                      </m:sub>
                      <m:sup>
                        <m:r>
                          <w:rPr>
                            <w:rFonts w:ascii="Cambria Math" w:hAnsi="Cambria Math"/>
                          </w:rPr>
                          <m:t>2</m:t>
                        </m:r>
                      </m:sup>
                    </m:sSubSup>
                  </m:den>
                </m:f>
              </m:e>
            </m:nary>
          </m:num>
          <m:den>
            <m:nary>
              <m:naryPr>
                <m:chr m:val="∑"/>
                <m:limLoc m:val="undOvr"/>
                <m:supHide m:val="1"/>
                <m:ctrlPr>
                  <w:rPr>
                    <w:rFonts w:ascii="Cambria Math" w:hAnsi="Cambria Math"/>
                    <w:i/>
                  </w:rPr>
                </m:ctrlPr>
              </m:naryPr>
              <m:sub>
                <m:r>
                  <w:rPr>
                    <w:rFonts w:ascii="Cambria Math" w:hAnsi="Cambria Math"/>
                  </w:rPr>
                  <m:t>i</m:t>
                </m:r>
              </m:sub>
              <m:sup/>
              <m:e>
                <m:f>
                  <m:fPr>
                    <m:ctrlPr>
                      <w:rPr>
                        <w:rFonts w:ascii="Cambria Math" w:hAnsi="Cambria Math"/>
                        <w:i/>
                      </w:rPr>
                    </m:ctrlPr>
                  </m:fPr>
                  <m:num>
                    <m:r>
                      <w:rPr>
                        <w:rFonts w:ascii="Cambria Math" w:hAnsi="Cambria Math"/>
                      </w:rPr>
                      <m:t>1</m:t>
                    </m:r>
                  </m:num>
                  <m:den>
                    <m:sSubSup>
                      <m:sSubSupPr>
                        <m:ctrlPr>
                          <w:rPr>
                            <w:rFonts w:ascii="Cambria Math" w:hAnsi="Cambria Math"/>
                            <w:i/>
                          </w:rPr>
                        </m:ctrlPr>
                      </m:sSubSupPr>
                      <m:e>
                        <m:r>
                          <w:rPr>
                            <w:rFonts w:ascii="Cambria Math" w:hAnsi="Cambria Math"/>
                          </w:rPr>
                          <m:t>σ</m:t>
                        </m:r>
                      </m:e>
                      <m:sub>
                        <m:r>
                          <w:rPr>
                            <w:rFonts w:ascii="Cambria Math" w:hAnsi="Cambria Math"/>
                          </w:rPr>
                          <m:t>i</m:t>
                        </m:r>
                      </m:sub>
                      <m:sup>
                        <m:r>
                          <w:rPr>
                            <w:rFonts w:ascii="Cambria Math" w:hAnsi="Cambria Math"/>
                          </w:rPr>
                          <m:t>2</m:t>
                        </m:r>
                      </m:sup>
                    </m:sSubSup>
                  </m:den>
                </m:f>
              </m:e>
            </m:nary>
          </m:den>
        </m:f>
      </m:oMath>
      <w:r w:rsidR="0046669A" w:rsidRPr="00DD440D">
        <w:t xml:space="preserve"> ,  </w:t>
      </w:r>
      <w:r w:rsidR="0046669A" w:rsidRPr="00DD440D">
        <w:rPr>
          <w:sz w:val="22"/>
        </w:rPr>
        <w:t xml:space="preserve"> </w:t>
      </w:r>
      <m:oMath>
        <m:f>
          <m:fPr>
            <m:ctrlPr>
              <w:rPr>
                <w:rFonts w:ascii="Cambria Math" w:hAnsi="Cambria Math"/>
                <w:sz w:val="22"/>
              </w:rPr>
            </m:ctrlPr>
          </m:fPr>
          <m:num>
            <m:r>
              <w:rPr>
                <w:rFonts w:ascii="Cambria Math" w:hAnsi="Cambria Math"/>
                <w:sz w:val="22"/>
              </w:rPr>
              <m:t>1</m:t>
            </m:r>
          </m:num>
          <m:den>
            <m:sSubSup>
              <m:sSubSupPr>
                <m:ctrlPr>
                  <w:rPr>
                    <w:rFonts w:ascii="Cambria Math" w:hAnsi="Cambria Math"/>
                    <w:i/>
                    <w:sz w:val="22"/>
                  </w:rPr>
                </m:ctrlPr>
              </m:sSubSupPr>
              <m:e>
                <m:r>
                  <w:rPr>
                    <w:rFonts w:ascii="Cambria Math" w:hAnsi="Cambria Math"/>
                    <w:sz w:val="22"/>
                  </w:rPr>
                  <m:t>σ</m:t>
                </m:r>
              </m:e>
              <m:sub>
                <m:r>
                  <w:rPr>
                    <w:rFonts w:ascii="Cambria Math" w:hAnsi="Cambria Math"/>
                    <w:sz w:val="22"/>
                  </w:rPr>
                  <m:t>X</m:t>
                </m:r>
              </m:sub>
              <m:sup>
                <m:r>
                  <w:rPr>
                    <w:rFonts w:ascii="Cambria Math" w:hAnsi="Cambria Math"/>
                    <w:sz w:val="22"/>
                  </w:rPr>
                  <m:t>2</m:t>
                </m:r>
              </m:sup>
            </m:sSubSup>
          </m:den>
        </m:f>
        <m:r>
          <w:rPr>
            <w:rFonts w:ascii="Cambria Math" w:hAnsi="Cambria Math"/>
            <w:sz w:val="22"/>
          </w:rPr>
          <m:t>=</m:t>
        </m:r>
        <m:nary>
          <m:naryPr>
            <m:chr m:val="∑"/>
            <m:limLoc m:val="undOvr"/>
            <m:supHide m:val="1"/>
            <m:ctrlPr>
              <w:rPr>
                <w:rFonts w:ascii="Cambria Math" w:hAnsi="Cambria Math"/>
                <w:i/>
                <w:sz w:val="22"/>
              </w:rPr>
            </m:ctrlPr>
          </m:naryPr>
          <m:sub>
            <m:r>
              <w:rPr>
                <w:rFonts w:ascii="Cambria Math" w:hAnsi="Cambria Math"/>
                <w:sz w:val="22"/>
              </w:rPr>
              <m:t>i</m:t>
            </m:r>
          </m:sub>
          <m:sup/>
          <m:e>
            <m:f>
              <m:fPr>
                <m:ctrlPr>
                  <w:rPr>
                    <w:rFonts w:ascii="Cambria Math" w:hAnsi="Cambria Math"/>
                    <w:i/>
                    <w:sz w:val="22"/>
                  </w:rPr>
                </m:ctrlPr>
              </m:fPr>
              <m:num>
                <m:r>
                  <w:rPr>
                    <w:rFonts w:ascii="Cambria Math" w:hAnsi="Cambria Math"/>
                    <w:sz w:val="22"/>
                  </w:rPr>
                  <m:t>1</m:t>
                </m:r>
              </m:num>
              <m:den>
                <m:sSubSup>
                  <m:sSubSupPr>
                    <m:ctrlPr>
                      <w:rPr>
                        <w:rFonts w:ascii="Cambria Math" w:hAnsi="Cambria Math"/>
                        <w:i/>
                        <w:sz w:val="22"/>
                      </w:rPr>
                    </m:ctrlPr>
                  </m:sSubSupPr>
                  <m:e>
                    <m:r>
                      <w:rPr>
                        <w:rFonts w:ascii="Cambria Math" w:hAnsi="Cambria Math"/>
                        <w:sz w:val="22"/>
                      </w:rPr>
                      <m:t>σ</m:t>
                    </m:r>
                  </m:e>
                  <m:sub>
                    <m:r>
                      <w:rPr>
                        <w:rFonts w:ascii="Cambria Math" w:hAnsi="Cambria Math"/>
                        <w:sz w:val="22"/>
                      </w:rPr>
                      <m:t>i</m:t>
                    </m:r>
                  </m:sub>
                  <m:sup>
                    <m:r>
                      <w:rPr>
                        <w:rFonts w:ascii="Cambria Math" w:hAnsi="Cambria Math"/>
                        <w:sz w:val="22"/>
                      </w:rPr>
                      <m:t>2</m:t>
                    </m:r>
                  </m:sup>
                </m:sSubSup>
              </m:den>
            </m:f>
          </m:e>
        </m:nary>
      </m:oMath>
    </w:p>
    <w:p w14:paraId="2E07ABDE" w14:textId="77777777" w:rsidR="005852DC" w:rsidRPr="00DD440D" w:rsidRDefault="008B059F" w:rsidP="008B059F">
      <w:pPr>
        <w:ind w:leftChars="135" w:left="283" w:firstLineChars="100" w:firstLine="210"/>
      </w:pPr>
      <w:r w:rsidRPr="00DD440D">
        <w:rPr>
          <w:rFonts w:hint="eastAsia"/>
        </w:rPr>
        <w:t>参考文献）平成</w:t>
      </w:r>
      <w:r w:rsidRPr="00DD440D">
        <w:t>4年改訂 文部科学省 科学技術・学術政策局 原子力安全課 防災環境対策室「ゲルマニウム半導体検出器によるガンマ線スペクトロメトリー」（156頁　10.3.2　荷重平均の計算）</w:t>
      </w:r>
    </w:p>
    <w:p w14:paraId="77592C1A" w14:textId="77777777" w:rsidR="008B059F" w:rsidRPr="00DD440D" w:rsidRDefault="008B059F" w:rsidP="005852DC"/>
    <w:p w14:paraId="32FDD416" w14:textId="77777777" w:rsidR="005020DD" w:rsidRPr="00DD440D" w:rsidRDefault="00C81201" w:rsidP="000572AA">
      <w:pPr>
        <w:pStyle w:val="a3"/>
        <w:numPr>
          <w:ilvl w:val="0"/>
          <w:numId w:val="2"/>
        </w:numPr>
        <w:ind w:leftChars="0"/>
      </w:pPr>
      <w:r w:rsidRPr="00DD440D">
        <w:rPr>
          <w:rFonts w:hint="eastAsia"/>
        </w:rPr>
        <w:t>注</w:t>
      </w:r>
      <w:r w:rsidRPr="00DD440D">
        <w:rPr>
          <w:rFonts w:hint="eastAsia"/>
          <w:vertAlign w:val="superscript"/>
        </w:rPr>
        <w:t>5)</w:t>
      </w:r>
      <w:r w:rsidRPr="00DD440D">
        <w:rPr>
          <w:rFonts w:hint="eastAsia"/>
        </w:rPr>
        <w:t xml:space="preserve">　</w:t>
      </w:r>
      <w:r w:rsidR="005852DC" w:rsidRPr="00DD440D">
        <w:t>2回の測定の差の絶対値をそのまま記載する</w:t>
      </w:r>
      <w:r w:rsidR="005852DC" w:rsidRPr="00DD440D">
        <w:rPr>
          <w:rFonts w:hint="eastAsia"/>
        </w:rPr>
        <w:t>。</w:t>
      </w:r>
    </w:p>
    <w:p w14:paraId="4EBE2689" w14:textId="77777777" w:rsidR="00712864" w:rsidRPr="00DD440D" w:rsidRDefault="00712864" w:rsidP="00712864"/>
    <w:p w14:paraId="6FD927BD" w14:textId="77777777" w:rsidR="00712864" w:rsidRPr="00DD440D" w:rsidRDefault="00712864" w:rsidP="00712864">
      <w:pPr>
        <w:rPr>
          <w:u w:val="single"/>
        </w:rPr>
      </w:pPr>
      <w:r w:rsidRPr="00DD440D">
        <w:rPr>
          <w:rFonts w:hint="eastAsia"/>
          <w:u w:val="single"/>
        </w:rPr>
        <w:t>説明</w:t>
      </w:r>
      <w:r w:rsidRPr="00DD440D">
        <w:rPr>
          <w:rFonts w:hint="eastAsia"/>
        </w:rPr>
        <w:t>：2回の測定結果から自動的に計算される。</w:t>
      </w:r>
    </w:p>
    <w:p w14:paraId="78D672EB" w14:textId="77777777" w:rsidR="009A7C6C" w:rsidRPr="00DD440D" w:rsidRDefault="009A7C6C" w:rsidP="009A7C6C"/>
    <w:p w14:paraId="5603ABEA" w14:textId="77777777" w:rsidR="006D65E0" w:rsidRPr="00DD440D" w:rsidRDefault="00C81201" w:rsidP="000572AA">
      <w:pPr>
        <w:pStyle w:val="a3"/>
        <w:numPr>
          <w:ilvl w:val="0"/>
          <w:numId w:val="2"/>
        </w:numPr>
        <w:ind w:leftChars="0"/>
      </w:pPr>
      <w:r w:rsidRPr="00DD440D">
        <w:rPr>
          <w:rFonts w:hint="eastAsia"/>
        </w:rPr>
        <w:t>その他</w:t>
      </w:r>
      <w:r w:rsidR="00712864" w:rsidRPr="00DD440D">
        <w:rPr>
          <w:rFonts w:hint="eastAsia"/>
        </w:rPr>
        <w:t>、質問が多い不確かさ要因について</w:t>
      </w:r>
    </w:p>
    <w:p w14:paraId="65E7044D" w14:textId="77777777" w:rsidR="009C2080" w:rsidRPr="00DD440D" w:rsidRDefault="00822D36" w:rsidP="009C2080">
      <w:r w:rsidRPr="00DD440D">
        <w:rPr>
          <w:rFonts w:hint="eastAsia"/>
        </w:rPr>
        <w:t>・</w:t>
      </w:r>
      <w:r w:rsidR="009C2080" w:rsidRPr="00DD440D">
        <w:rPr>
          <w:rFonts w:hint="eastAsia"/>
        </w:rPr>
        <w:t>試料の充</w:t>
      </w:r>
      <w:r w:rsidR="00F54AA9" w:rsidRPr="00DD440D">
        <w:rPr>
          <w:rFonts w:hint="eastAsia"/>
        </w:rPr>
        <w:t>てん</w:t>
      </w:r>
      <w:r w:rsidR="009C2080" w:rsidRPr="00DD440D">
        <w:rPr>
          <w:rFonts w:hint="eastAsia"/>
        </w:rPr>
        <w:t>高さ</w:t>
      </w:r>
      <w:r w:rsidRPr="00DD440D">
        <w:rPr>
          <w:rFonts w:hint="eastAsia"/>
        </w:rPr>
        <w:t>（出典の表記から）</w:t>
      </w:r>
    </w:p>
    <w:p w14:paraId="6A9CE512" w14:textId="010FD4F0" w:rsidR="009C2080" w:rsidRPr="00DD440D" w:rsidRDefault="009C2080" w:rsidP="009C2080">
      <w:pPr>
        <w:ind w:firstLineChars="100" w:firstLine="210"/>
      </w:pPr>
      <w:r w:rsidRPr="00DD440D">
        <w:rPr>
          <w:rFonts w:hint="eastAsia"/>
        </w:rPr>
        <w:t>複数の充てん高さの標準線源を用いた</w:t>
      </w:r>
      <w:r w:rsidR="000D721B" w:rsidRPr="00DD440D">
        <w:rPr>
          <w:rFonts w:hint="eastAsia"/>
        </w:rPr>
        <w:t>ピーク効率</w:t>
      </w:r>
      <w:r w:rsidRPr="00DD440D">
        <w:rPr>
          <w:rFonts w:hint="eastAsia"/>
        </w:rPr>
        <w:t>曲線から評価した。試料表面の高さの違いは最大</w:t>
      </w:r>
      <w:r w:rsidRPr="00DD440D">
        <w:t>1</w:t>
      </w:r>
      <w:r w:rsidR="00F54AA9" w:rsidRPr="00DD440D">
        <w:t xml:space="preserve"> </w:t>
      </w:r>
      <w:r w:rsidRPr="00DD440D">
        <w:t>mmと考え、試料高さと</w:t>
      </w:r>
      <w:r w:rsidR="000D721B" w:rsidRPr="00DD440D">
        <w:rPr>
          <w:rFonts w:hint="eastAsia"/>
        </w:rPr>
        <w:t>ピーク効率</w:t>
      </w:r>
      <w:r w:rsidRPr="00DD440D">
        <w:t>の関係式から</w:t>
      </w:r>
      <w:r w:rsidR="00F54AA9" w:rsidRPr="00DD440D">
        <w:rPr>
          <w:rFonts w:hint="eastAsia"/>
        </w:rPr>
        <w:t>(</w:t>
      </w:r>
      <w:r w:rsidRPr="00DD440D">
        <w:t>50±1</w:t>
      </w:r>
      <w:r w:rsidR="00F54AA9" w:rsidRPr="00DD440D">
        <w:t xml:space="preserve">) </w:t>
      </w:r>
      <w:r w:rsidRPr="00DD440D">
        <w:t>mm変化したときの</w:t>
      </w:r>
      <w:r w:rsidR="000D721B" w:rsidRPr="00DD440D">
        <w:t>ピーク効率</w:t>
      </w:r>
      <w:r w:rsidRPr="00DD440D">
        <w:t>の変化を求める。</w:t>
      </w:r>
      <w:r w:rsidR="000572AA" w:rsidRPr="00DD440D">
        <w:rPr>
          <w:rFonts w:hint="eastAsia"/>
        </w:rPr>
        <w:t>変化が大きい方の</w:t>
      </w:r>
      <w:r w:rsidRPr="00DD440D">
        <w:t>値を</w:t>
      </w:r>
      <m:oMath>
        <m:rad>
          <m:radPr>
            <m:degHide m:val="1"/>
            <m:ctrlPr>
              <w:rPr>
                <w:rFonts w:ascii="Cambria Math" w:hAnsi="Cambria Math"/>
              </w:rPr>
            </m:ctrlPr>
          </m:radPr>
          <m:deg/>
          <m:e>
            <m:r>
              <w:rPr>
                <w:rFonts w:ascii="Cambria Math" w:hAnsi="Cambria Math"/>
              </w:rPr>
              <m:t>3</m:t>
            </m:r>
          </m:e>
        </m:rad>
      </m:oMath>
      <w:r w:rsidRPr="00DD440D">
        <w:t>で割ることで標準不確かさを評価した。</w:t>
      </w:r>
    </w:p>
    <w:p w14:paraId="200CE159" w14:textId="77777777" w:rsidR="009C2080" w:rsidRPr="00DD440D" w:rsidRDefault="009C2080" w:rsidP="009C2080">
      <w:pPr>
        <w:ind w:firstLineChars="100" w:firstLine="210"/>
      </w:pPr>
    </w:p>
    <w:p w14:paraId="292DC5D6" w14:textId="64F918D3" w:rsidR="009C2080" w:rsidRPr="00DD440D" w:rsidRDefault="009C2080" w:rsidP="009C2080">
      <w:pPr>
        <w:ind w:firstLineChars="100" w:firstLine="210"/>
        <w:rPr>
          <w:u w:val="single"/>
        </w:rPr>
      </w:pPr>
      <w:r w:rsidRPr="00DD440D">
        <w:rPr>
          <w:rFonts w:hint="eastAsia"/>
          <w:u w:val="single"/>
        </w:rPr>
        <w:t>説明：</w:t>
      </w:r>
      <w:r w:rsidR="00822D36" w:rsidRPr="00DD440D">
        <w:rPr>
          <w:rFonts w:hint="eastAsia"/>
          <w:u w:val="single"/>
        </w:rPr>
        <w:t>複数の充てん高さの標準線源を用いた</w:t>
      </w:r>
      <w:r w:rsidR="000D721B" w:rsidRPr="00DD440D">
        <w:rPr>
          <w:rFonts w:hint="eastAsia"/>
          <w:u w:val="single"/>
        </w:rPr>
        <w:t>ピーク効率</w:t>
      </w:r>
      <w:r w:rsidR="00822D36" w:rsidRPr="00DD440D">
        <w:rPr>
          <w:rFonts w:hint="eastAsia"/>
          <w:u w:val="single"/>
        </w:rPr>
        <w:t>曲線から評価する手順について</w:t>
      </w:r>
    </w:p>
    <w:p w14:paraId="5C0B668D" w14:textId="2E26181F" w:rsidR="00822D36" w:rsidRPr="00DD440D" w:rsidRDefault="00822D36" w:rsidP="009C2080">
      <w:pPr>
        <w:ind w:firstLineChars="100" w:firstLine="210"/>
      </w:pPr>
      <w:r w:rsidRPr="00DD440D">
        <w:rPr>
          <w:rFonts w:hint="eastAsia"/>
        </w:rPr>
        <w:t xml:space="preserve">　出典の手順は、メーカの測定結果の出力からは直接評価することはできず、</w:t>
      </w:r>
      <w:r w:rsidR="000D721B" w:rsidRPr="00DD440D">
        <w:rPr>
          <w:rFonts w:hint="eastAsia"/>
        </w:rPr>
        <w:t>ピーク効率</w:t>
      </w:r>
      <w:r w:rsidRPr="00DD440D">
        <w:rPr>
          <w:rFonts w:hint="eastAsia"/>
        </w:rPr>
        <w:t>曲線を測定した後に自身による計算が必要になる。</w:t>
      </w:r>
    </w:p>
    <w:p w14:paraId="3C6A17D3" w14:textId="074CEF51" w:rsidR="00822D36" w:rsidRPr="00DD440D" w:rsidRDefault="00BE4B50" w:rsidP="009C2080">
      <w:pPr>
        <w:ind w:firstLineChars="100" w:firstLine="210"/>
      </w:pPr>
      <w:r w:rsidRPr="00DD440D">
        <w:rPr>
          <w:rFonts w:hint="eastAsia"/>
        </w:rPr>
        <w:t>あるメーカの出力を事例に示すと図</w:t>
      </w:r>
      <w:r w:rsidR="00414C70" w:rsidRPr="00DD440D">
        <w:rPr>
          <w:rFonts w:hint="eastAsia"/>
        </w:rPr>
        <w:t>3</w:t>
      </w:r>
      <w:r w:rsidRPr="00DD440D">
        <w:rPr>
          <w:rFonts w:hint="eastAsia"/>
        </w:rPr>
        <w:t>のような結果が得られる。充てん高さ毎に</w:t>
      </w:r>
      <w:r w:rsidR="000D721B" w:rsidRPr="00DD440D">
        <w:rPr>
          <w:rFonts w:hint="eastAsia"/>
        </w:rPr>
        <w:t>ピーク効率</w:t>
      </w:r>
      <w:r w:rsidRPr="00DD440D">
        <w:rPr>
          <w:rFonts w:hint="eastAsia"/>
        </w:rPr>
        <w:t>曲線の関数式が得られる。これらを用いて、</w:t>
      </w:r>
      <w:r w:rsidRPr="00DD440D">
        <w:t>Cs-137(661.65</w:t>
      </w:r>
      <w:r w:rsidR="00F54AA9" w:rsidRPr="00DD440D">
        <w:t xml:space="preserve"> </w:t>
      </w:r>
      <w:r w:rsidRPr="00DD440D">
        <w:t>keV)</w:t>
      </w:r>
      <w:r w:rsidRPr="00DD440D">
        <w:rPr>
          <w:rFonts w:hint="eastAsia"/>
        </w:rPr>
        <w:t>、</w:t>
      </w:r>
      <w:r w:rsidRPr="00DD440D">
        <w:t>Cs-134(604.66</w:t>
      </w:r>
      <w:r w:rsidR="00F54AA9" w:rsidRPr="00DD440D">
        <w:t xml:space="preserve"> </w:t>
      </w:r>
      <w:r w:rsidRPr="00DD440D">
        <w:t>keV</w:t>
      </w:r>
      <w:r w:rsidRPr="00DD440D">
        <w:rPr>
          <w:rFonts w:hint="eastAsia"/>
        </w:rPr>
        <w:t>)、</w:t>
      </w:r>
      <w:r w:rsidRPr="00DD440D">
        <w:lastRenderedPageBreak/>
        <w:t>K-40(1460.75</w:t>
      </w:r>
      <w:r w:rsidR="00F54AA9" w:rsidRPr="00DD440D">
        <w:t xml:space="preserve"> </w:t>
      </w:r>
      <w:r w:rsidRPr="00DD440D">
        <w:t>keV)</w:t>
      </w:r>
      <w:r w:rsidRPr="00DD440D">
        <w:rPr>
          <w:rFonts w:hint="eastAsia"/>
        </w:rPr>
        <w:t>のエネルギーにおいて</w:t>
      </w:r>
      <w:r w:rsidR="000D721B" w:rsidRPr="00DD440D">
        <w:rPr>
          <w:rFonts w:hint="eastAsia"/>
        </w:rPr>
        <w:t>ピーク効率</w:t>
      </w:r>
      <w:r w:rsidRPr="00DD440D">
        <w:rPr>
          <w:rFonts w:hint="eastAsia"/>
        </w:rPr>
        <w:t>を計算（図中の</w:t>
      </w:r>
      <w:r w:rsidR="005F783E" w:rsidRPr="00DD440D">
        <w:rPr>
          <w:rFonts w:hint="eastAsia"/>
        </w:rPr>
        <w:t>●</w:t>
      </w:r>
      <w:r w:rsidRPr="00DD440D">
        <w:rPr>
          <w:rFonts w:hint="eastAsia"/>
        </w:rPr>
        <w:t>で示した点について）して核種ごとにプロットしたのが、図</w:t>
      </w:r>
      <w:r w:rsidR="00414C70" w:rsidRPr="00DD440D">
        <w:rPr>
          <w:rFonts w:hint="eastAsia"/>
        </w:rPr>
        <w:t>4</w:t>
      </w:r>
      <w:r w:rsidRPr="00DD440D">
        <w:rPr>
          <w:rFonts w:hint="eastAsia"/>
        </w:rPr>
        <w:t>である。実線は、計算値を用いて曲線を二次関数で表したもので、EXCELの機能であるソルバー</w:t>
      </w:r>
      <w:r w:rsidR="0000207D" w:rsidRPr="00DD440D">
        <w:rPr>
          <w:rFonts w:hint="eastAsia"/>
        </w:rPr>
        <w:t>を</w:t>
      </w:r>
      <w:r w:rsidRPr="00DD440D">
        <w:rPr>
          <w:rFonts w:hint="eastAsia"/>
        </w:rPr>
        <w:t>用いて近似している。</w:t>
      </w:r>
    </w:p>
    <w:p w14:paraId="4D20C302" w14:textId="64E7CC25" w:rsidR="006D65E0" w:rsidRPr="00DD440D" w:rsidRDefault="00BE4B50" w:rsidP="00476D8E">
      <w:pPr>
        <w:ind w:firstLineChars="100" w:firstLine="210"/>
      </w:pPr>
      <w:r w:rsidRPr="00DD440D">
        <w:rPr>
          <w:rFonts w:hint="eastAsia"/>
        </w:rPr>
        <w:t>ここで、</w:t>
      </w:r>
      <w:r w:rsidR="0000207D" w:rsidRPr="00DD440D">
        <w:rPr>
          <w:rFonts w:hint="eastAsia"/>
        </w:rPr>
        <w:t>例えば、</w:t>
      </w:r>
      <w:r w:rsidRPr="00DD440D">
        <w:rPr>
          <w:rFonts w:hint="eastAsia"/>
        </w:rPr>
        <w:t>Cs-137</w:t>
      </w:r>
      <w:r w:rsidR="0000207D" w:rsidRPr="00DD440D">
        <w:rPr>
          <w:rFonts w:hint="eastAsia"/>
        </w:rPr>
        <w:t>について評価する。</w:t>
      </w:r>
      <w:r w:rsidRPr="00DD440D">
        <w:rPr>
          <w:rFonts w:hint="eastAsia"/>
        </w:rPr>
        <w:t>曲線</w:t>
      </w:r>
      <w:r w:rsidR="0000207D" w:rsidRPr="00DD440D">
        <w:rPr>
          <w:rFonts w:hint="eastAsia"/>
        </w:rPr>
        <w:t>の関数から49</w:t>
      </w:r>
      <w:r w:rsidR="000572AA" w:rsidRPr="00DD440D">
        <w:t xml:space="preserve"> </w:t>
      </w:r>
      <w:r w:rsidR="0000207D" w:rsidRPr="00DD440D">
        <w:rPr>
          <w:rFonts w:hint="eastAsia"/>
        </w:rPr>
        <w:t>mmと51</w:t>
      </w:r>
      <w:r w:rsidR="000572AA" w:rsidRPr="00DD440D">
        <w:t xml:space="preserve"> </w:t>
      </w:r>
      <w:r w:rsidR="000572AA" w:rsidRPr="00DD440D">
        <w:rPr>
          <w:rFonts w:hint="eastAsia"/>
        </w:rPr>
        <w:t>m</w:t>
      </w:r>
      <w:r w:rsidR="000572AA" w:rsidRPr="00DD440D">
        <w:t>m</w:t>
      </w:r>
      <w:r w:rsidR="0000207D" w:rsidRPr="00DD440D">
        <w:rPr>
          <w:rFonts w:hint="eastAsia"/>
        </w:rPr>
        <w:t>での</w:t>
      </w:r>
      <w:r w:rsidR="000D721B" w:rsidRPr="00DD440D">
        <w:rPr>
          <w:rFonts w:hint="eastAsia"/>
        </w:rPr>
        <w:t>ピーク効率</w:t>
      </w:r>
      <w:r w:rsidR="0000207D" w:rsidRPr="00DD440D">
        <w:rPr>
          <w:rFonts w:hint="eastAsia"/>
        </w:rPr>
        <w:t>と50</w:t>
      </w:r>
      <w:r w:rsidR="000572AA" w:rsidRPr="00DD440D">
        <w:t xml:space="preserve"> </w:t>
      </w:r>
      <w:r w:rsidR="0000207D" w:rsidRPr="00DD440D">
        <w:rPr>
          <w:rFonts w:hint="eastAsia"/>
        </w:rPr>
        <w:t>mmでの効率の差を求める。絶対値で評価すると、曲線の形状から高さが低い49</w:t>
      </w:r>
      <w:r w:rsidR="000572AA" w:rsidRPr="00DD440D">
        <w:t xml:space="preserve"> </w:t>
      </w:r>
      <w:r w:rsidR="0000207D" w:rsidRPr="00DD440D">
        <w:rPr>
          <w:rFonts w:hint="eastAsia"/>
        </w:rPr>
        <w:t>mmでの差の方が必ず大きくなると考えられる。ここでは、0.000213が計算され、これを相対値に変換して</w:t>
      </w:r>
      <m:oMath>
        <m:rad>
          <m:radPr>
            <m:degHide m:val="1"/>
            <m:ctrlPr>
              <w:rPr>
                <w:rFonts w:ascii="Cambria Math" w:hAnsi="Cambria Math"/>
              </w:rPr>
            </m:ctrlPr>
          </m:radPr>
          <m:deg/>
          <m:e>
            <m:r>
              <w:rPr>
                <w:rFonts w:ascii="Cambria Math" w:hAnsi="Cambria Math"/>
              </w:rPr>
              <m:t>3</m:t>
            </m:r>
          </m:e>
        </m:rad>
      </m:oMath>
      <w:r w:rsidR="0000207D" w:rsidRPr="00DD440D">
        <w:rPr>
          <w:rFonts w:hint="eastAsia"/>
        </w:rPr>
        <w:t>で割ると標準不確かさで0.48</w:t>
      </w:r>
      <w:r w:rsidR="000572AA" w:rsidRPr="00DD440D">
        <w:t xml:space="preserve"> </w:t>
      </w:r>
      <w:r w:rsidR="0000207D" w:rsidRPr="00DD440D">
        <w:rPr>
          <w:rFonts w:hint="eastAsia"/>
        </w:rPr>
        <w:t>%と</w:t>
      </w:r>
      <w:r w:rsidR="006B4116" w:rsidRPr="00DD440D">
        <w:rPr>
          <w:rFonts w:hint="eastAsia"/>
        </w:rPr>
        <w:t>評価</w:t>
      </w:r>
      <w:r w:rsidR="0000207D" w:rsidRPr="00DD440D">
        <w:rPr>
          <w:rFonts w:hint="eastAsia"/>
        </w:rPr>
        <w:t>された。</w:t>
      </w:r>
    </w:p>
    <w:p w14:paraId="7CE5F6E5" w14:textId="77777777" w:rsidR="00476D8E" w:rsidRPr="00DD440D" w:rsidRDefault="00476D8E">
      <w:pPr>
        <w:widowControl/>
        <w:jc w:val="left"/>
      </w:pPr>
    </w:p>
    <w:p w14:paraId="1D3DA0DC" w14:textId="77777777" w:rsidR="00F81983" w:rsidRPr="00DD440D" w:rsidRDefault="00F81983">
      <w:pPr>
        <w:widowControl/>
        <w:jc w:val="left"/>
        <w:sectPr w:rsidR="00F81983" w:rsidRPr="00DD440D">
          <w:pgSz w:w="11906" w:h="16838"/>
          <w:pgMar w:top="1985" w:right="1701" w:bottom="1701" w:left="1701" w:header="851" w:footer="992" w:gutter="0"/>
          <w:cols w:space="425"/>
          <w:docGrid w:type="lines" w:linePitch="360"/>
        </w:sectPr>
      </w:pPr>
    </w:p>
    <w:p w14:paraId="6050E087" w14:textId="77777777" w:rsidR="00476D8E" w:rsidRPr="00DD440D" w:rsidRDefault="00F81983">
      <w:pPr>
        <w:widowControl/>
        <w:jc w:val="left"/>
      </w:pPr>
      <w:r w:rsidRPr="00DD440D">
        <w:rPr>
          <w:rFonts w:hint="eastAsia"/>
        </w:rPr>
        <w:lastRenderedPageBreak/>
        <w:t>図1　報告シートに含まれた不確かさ評価のためのバジェット表の事例</w:t>
      </w:r>
    </w:p>
    <w:p w14:paraId="19C27542" w14:textId="77777777" w:rsidR="00476D8E" w:rsidRPr="00DD440D" w:rsidRDefault="00476D8E">
      <w:pPr>
        <w:widowControl/>
        <w:jc w:val="left"/>
      </w:pPr>
      <w:r w:rsidRPr="00DD440D">
        <w:rPr>
          <w:rFonts w:hint="eastAsia"/>
          <w:noProof/>
        </w:rPr>
        <w:drawing>
          <wp:inline distT="0" distB="0" distL="0" distR="0" wp14:anchorId="680D4E7D" wp14:editId="6188F86F">
            <wp:extent cx="8358453" cy="4960620"/>
            <wp:effectExtent l="0" t="0" r="508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362666" cy="4963121"/>
                    </a:xfrm>
                    <a:prstGeom prst="rect">
                      <a:avLst/>
                    </a:prstGeom>
                    <a:noFill/>
                    <a:ln>
                      <a:noFill/>
                    </a:ln>
                  </pic:spPr>
                </pic:pic>
              </a:graphicData>
            </a:graphic>
          </wp:inline>
        </w:drawing>
      </w:r>
    </w:p>
    <w:p w14:paraId="54193320" w14:textId="77777777" w:rsidR="00F81983" w:rsidRPr="00DD440D" w:rsidRDefault="00F81983" w:rsidP="009A7C6C">
      <w:pPr>
        <w:sectPr w:rsidR="00F81983" w:rsidRPr="00DD440D" w:rsidSect="00F81983">
          <w:pgSz w:w="16838" w:h="11906" w:orient="landscape" w:code="9"/>
          <w:pgMar w:top="1701" w:right="1701" w:bottom="1701" w:left="1985" w:header="851" w:footer="992" w:gutter="0"/>
          <w:cols w:space="425"/>
          <w:docGrid w:type="linesAndChars" w:linePitch="360"/>
        </w:sectPr>
      </w:pPr>
    </w:p>
    <w:p w14:paraId="65CB3DC5" w14:textId="7CDD659C" w:rsidR="006D65E0" w:rsidRPr="00DD440D" w:rsidRDefault="006D65E0" w:rsidP="009A7C6C">
      <w:r w:rsidRPr="00DD440D">
        <w:rPr>
          <w:rFonts w:hint="eastAsia"/>
        </w:rPr>
        <w:lastRenderedPageBreak/>
        <w:t>図</w:t>
      </w:r>
      <w:r w:rsidR="00F26499" w:rsidRPr="00DD440D">
        <w:rPr>
          <w:rFonts w:hint="eastAsia"/>
        </w:rPr>
        <w:t>2</w:t>
      </w:r>
      <w:r w:rsidR="00342897" w:rsidRPr="00DD440D">
        <w:rPr>
          <w:rFonts w:hint="eastAsia"/>
        </w:rPr>
        <w:t xml:space="preserve">　50mm充てん高さの標準線源による</w:t>
      </w:r>
      <w:r w:rsidR="000D721B" w:rsidRPr="00DD440D">
        <w:rPr>
          <w:rFonts w:hint="eastAsia"/>
        </w:rPr>
        <w:t>ピーク効率</w:t>
      </w:r>
      <w:r w:rsidR="00342897" w:rsidRPr="00DD440D">
        <w:rPr>
          <w:rFonts w:hint="eastAsia"/>
        </w:rPr>
        <w:t>曲線の測定例</w:t>
      </w:r>
    </w:p>
    <w:p w14:paraId="410DA507" w14:textId="77777777" w:rsidR="006D65E0" w:rsidRPr="00DD440D" w:rsidRDefault="00DD0B1D" w:rsidP="009A7C6C">
      <w:r w:rsidRPr="00DD440D">
        <w:rPr>
          <w:noProof/>
        </w:rPr>
        <mc:AlternateContent>
          <mc:Choice Requires="wps">
            <w:drawing>
              <wp:anchor distT="0" distB="0" distL="114300" distR="114300" simplePos="0" relativeHeight="251659264" behindDoc="0" locked="0" layoutInCell="1" allowOverlap="1" wp14:anchorId="5EAFB129" wp14:editId="152C4EE2">
                <wp:simplePos x="0" y="0"/>
                <wp:positionH relativeFrom="column">
                  <wp:posOffset>3415665</wp:posOffset>
                </wp:positionH>
                <wp:positionV relativeFrom="paragraph">
                  <wp:posOffset>4050665</wp:posOffset>
                </wp:positionV>
                <wp:extent cx="533400" cy="2034540"/>
                <wp:effectExtent l="0" t="0" r="19050" b="22860"/>
                <wp:wrapNone/>
                <wp:docPr id="5" name="楕円 5"/>
                <wp:cNvGraphicFramePr/>
                <a:graphic xmlns:a="http://schemas.openxmlformats.org/drawingml/2006/main">
                  <a:graphicData uri="http://schemas.microsoft.com/office/word/2010/wordprocessingShape">
                    <wps:wsp>
                      <wps:cNvSpPr/>
                      <wps:spPr>
                        <a:xfrm>
                          <a:off x="0" y="0"/>
                          <a:ext cx="533400" cy="203454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EDC310" id="楕円 5" o:spid="_x0000_s1026" style="position:absolute;left:0;text-align:left;margin-left:268.95pt;margin-top:318.95pt;width:42pt;height:16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" filled="f" strokecolor="red" strokeweight="1pt">
                <v:stroke joinstyle="miter"/>
              </v:oval>
            </w:pict>
          </mc:Fallback>
        </mc:AlternateContent>
      </w:r>
      <w:r w:rsidR="006D65E0" w:rsidRPr="00DD440D">
        <w:rPr>
          <w:noProof/>
        </w:rPr>
        <w:drawing>
          <wp:inline distT="0" distB="0" distL="0" distR="0" wp14:anchorId="5FDAF789" wp14:editId="6E572EE3">
            <wp:extent cx="5400040" cy="5768340"/>
            <wp:effectExtent l="0" t="0" r="0" b="381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040" cy="5768340"/>
                    </a:xfrm>
                    <a:prstGeom prst="rect">
                      <a:avLst/>
                    </a:prstGeom>
                    <a:noFill/>
                    <a:ln>
                      <a:noFill/>
                    </a:ln>
                  </pic:spPr>
                </pic:pic>
              </a:graphicData>
            </a:graphic>
          </wp:inline>
        </w:drawing>
      </w:r>
    </w:p>
    <w:p w14:paraId="4380DE0D" w14:textId="77777777" w:rsidR="006D65E0" w:rsidRPr="00DD440D" w:rsidRDefault="006D65E0" w:rsidP="009A7C6C"/>
    <w:p w14:paraId="41D370C3" w14:textId="77777777" w:rsidR="00427A74" w:rsidRPr="00DD440D" w:rsidRDefault="00427A74">
      <w:pPr>
        <w:widowControl/>
        <w:jc w:val="left"/>
      </w:pPr>
      <w:r w:rsidRPr="00DD440D">
        <w:br w:type="page"/>
      </w:r>
    </w:p>
    <w:p w14:paraId="6799D316" w14:textId="338F4CC7" w:rsidR="00427A74" w:rsidRPr="00DD440D" w:rsidRDefault="00427A74" w:rsidP="009A7C6C">
      <w:r w:rsidRPr="00DD440D">
        <w:rPr>
          <w:rFonts w:hint="eastAsia"/>
        </w:rPr>
        <w:lastRenderedPageBreak/>
        <w:t>図</w:t>
      </w:r>
      <w:r w:rsidR="00F26499" w:rsidRPr="00DD440D">
        <w:rPr>
          <w:rFonts w:hint="eastAsia"/>
        </w:rPr>
        <w:t>3</w:t>
      </w:r>
      <w:r w:rsidRPr="00DD440D">
        <w:rPr>
          <w:rFonts w:hint="eastAsia"/>
        </w:rPr>
        <w:t xml:space="preserve">　高さが異なる標準線源を用いて</w:t>
      </w:r>
      <w:r w:rsidR="000D721B" w:rsidRPr="00DD440D">
        <w:rPr>
          <w:rFonts w:hint="eastAsia"/>
        </w:rPr>
        <w:t>ピーク効率</w:t>
      </w:r>
      <w:r w:rsidRPr="00DD440D">
        <w:rPr>
          <w:rFonts w:hint="eastAsia"/>
        </w:rPr>
        <w:t>曲線を評価した例</w:t>
      </w:r>
    </w:p>
    <w:p w14:paraId="1343E290" w14:textId="77777777" w:rsidR="00427A74" w:rsidRPr="00DD440D" w:rsidRDefault="00427A74" w:rsidP="009A7C6C"/>
    <w:p w14:paraId="2E57738C" w14:textId="77777777" w:rsidR="00427A74" w:rsidRPr="00DD440D" w:rsidRDefault="00427A74" w:rsidP="009A7C6C">
      <w:r w:rsidRPr="00DD440D">
        <w:rPr>
          <w:rFonts w:hint="eastAsia"/>
          <w:noProof/>
        </w:rPr>
        <w:drawing>
          <wp:inline distT="0" distB="0" distL="0" distR="0" wp14:anchorId="21AEBECA" wp14:editId="47DA1CD4">
            <wp:extent cx="5400040" cy="6837045"/>
            <wp:effectExtent l="0" t="0" r="0" b="190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6837045"/>
                    </a:xfrm>
                    <a:prstGeom prst="rect">
                      <a:avLst/>
                    </a:prstGeom>
                    <a:noFill/>
                    <a:ln>
                      <a:noFill/>
                    </a:ln>
                  </pic:spPr>
                </pic:pic>
              </a:graphicData>
            </a:graphic>
          </wp:inline>
        </w:drawing>
      </w:r>
    </w:p>
    <w:p w14:paraId="6BF89567" w14:textId="77777777" w:rsidR="00BE4B50" w:rsidRPr="00DD440D" w:rsidRDefault="00BE4B50" w:rsidP="009A7C6C"/>
    <w:p w14:paraId="3A887E90" w14:textId="77777777" w:rsidR="00BE4B50" w:rsidRPr="00DD440D" w:rsidRDefault="00BE4B50">
      <w:pPr>
        <w:widowControl/>
        <w:jc w:val="left"/>
      </w:pPr>
      <w:r w:rsidRPr="00DD440D">
        <w:br w:type="page"/>
      </w:r>
    </w:p>
    <w:p w14:paraId="216C34C1" w14:textId="4A402BF2" w:rsidR="00BE4B50" w:rsidRPr="00DD440D" w:rsidRDefault="00BE4B50" w:rsidP="009A7C6C">
      <w:r w:rsidRPr="00DD440D">
        <w:rPr>
          <w:rFonts w:hint="eastAsia"/>
        </w:rPr>
        <w:lastRenderedPageBreak/>
        <w:t>図</w:t>
      </w:r>
      <w:r w:rsidR="00F26499" w:rsidRPr="00DD440D">
        <w:rPr>
          <w:rFonts w:hint="eastAsia"/>
        </w:rPr>
        <w:t>4</w:t>
      </w:r>
      <w:r w:rsidR="00342897" w:rsidRPr="00DD440D">
        <w:rPr>
          <w:rFonts w:hint="eastAsia"/>
        </w:rPr>
        <w:t xml:space="preserve">　異なる高さの</w:t>
      </w:r>
      <w:r w:rsidR="000D721B" w:rsidRPr="00DD440D">
        <w:rPr>
          <w:rFonts w:hint="eastAsia"/>
        </w:rPr>
        <w:t>ピーク効率</w:t>
      </w:r>
      <w:r w:rsidR="00342897" w:rsidRPr="00DD440D">
        <w:rPr>
          <w:rFonts w:hint="eastAsia"/>
        </w:rPr>
        <w:t>曲線から計算された効率の高さ依存性</w:t>
      </w:r>
    </w:p>
    <w:p w14:paraId="4F308CCE" w14:textId="77777777" w:rsidR="00342897" w:rsidRPr="00DD440D" w:rsidRDefault="00342897" w:rsidP="009A7C6C">
      <w:r w:rsidRPr="00DD440D">
        <w:rPr>
          <w:rFonts w:hint="eastAsia"/>
        </w:rPr>
        <w:t xml:space="preserve">　　　●点</w:t>
      </w:r>
      <w:r w:rsidR="0009165F" w:rsidRPr="00DD440D">
        <w:rPr>
          <w:rFonts w:hint="eastAsia"/>
        </w:rPr>
        <w:t>は</w:t>
      </w:r>
      <w:r w:rsidRPr="00DD440D">
        <w:rPr>
          <w:rFonts w:hint="eastAsia"/>
        </w:rPr>
        <w:t>計算値で、</w:t>
      </w:r>
      <w:r w:rsidR="0009165F" w:rsidRPr="00DD440D">
        <w:rPr>
          <w:rFonts w:hint="eastAsia"/>
        </w:rPr>
        <w:t>実線</w:t>
      </w:r>
      <w:r w:rsidRPr="00DD440D">
        <w:rPr>
          <w:rFonts w:hint="eastAsia"/>
        </w:rPr>
        <w:t>は二次関数</w:t>
      </w:r>
      <w:r w:rsidR="0009165F" w:rsidRPr="00DD440D">
        <w:rPr>
          <w:rFonts w:hint="eastAsia"/>
        </w:rPr>
        <w:t>を用いて</w:t>
      </w:r>
      <w:r w:rsidRPr="00DD440D">
        <w:rPr>
          <w:rFonts w:hint="eastAsia"/>
        </w:rPr>
        <w:t>フイットした</w:t>
      </w:r>
      <w:r w:rsidR="0009165F" w:rsidRPr="00DD440D">
        <w:rPr>
          <w:rFonts w:hint="eastAsia"/>
        </w:rPr>
        <w:t>ものである</w:t>
      </w:r>
      <w:r w:rsidRPr="00DD440D">
        <w:rPr>
          <w:rFonts w:hint="eastAsia"/>
        </w:rPr>
        <w:t>。</w:t>
      </w:r>
    </w:p>
    <w:p w14:paraId="149699A0" w14:textId="77777777" w:rsidR="00BE4B50" w:rsidRDefault="00BE4B50" w:rsidP="009A7C6C">
      <w:r w:rsidRPr="00DD440D">
        <w:rPr>
          <w:noProof/>
        </w:rPr>
        <w:drawing>
          <wp:inline distT="0" distB="0" distL="0" distR="0" wp14:anchorId="1590DBDE" wp14:editId="714F87DF">
            <wp:extent cx="4932045" cy="3558540"/>
            <wp:effectExtent l="0" t="0" r="1905" b="3810"/>
            <wp:docPr id="1" name="グラフ 1">
              <a:extLst xmlns:a="http://schemas.openxmlformats.org/drawingml/2006/main">
                <a:ext uri="{FF2B5EF4-FFF2-40B4-BE49-F238E27FC236}">
                  <a16:creationId xmlns:a16="http://schemas.microsoft.com/office/drawing/2014/main" id="{CF8B927E-84F1-4076-AEA3-1A82381B6BD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09039FB" w14:textId="77777777" w:rsidR="00BE4B50" w:rsidRPr="005852DC" w:rsidRDefault="00BE4B50" w:rsidP="009A7C6C"/>
    <w:sectPr w:rsidR="00BE4B50" w:rsidRPr="005852DC" w:rsidSect="00F81983">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C2A28" w14:textId="77777777" w:rsidR="003F3E44" w:rsidRDefault="003F3E44" w:rsidP="000D721B">
      <w:r>
        <w:separator/>
      </w:r>
    </w:p>
  </w:endnote>
  <w:endnote w:type="continuationSeparator" w:id="0">
    <w:p w14:paraId="6F11A888" w14:textId="77777777" w:rsidR="003F3E44" w:rsidRDefault="003F3E44" w:rsidP="000D7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F90D2C" w14:textId="77777777" w:rsidR="003F3E44" w:rsidRDefault="003F3E44" w:rsidP="000D721B">
      <w:r>
        <w:separator/>
      </w:r>
    </w:p>
  </w:footnote>
  <w:footnote w:type="continuationSeparator" w:id="0">
    <w:p w14:paraId="2089F585" w14:textId="77777777" w:rsidR="003F3E44" w:rsidRDefault="003F3E44" w:rsidP="000D72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6F6349"/>
    <w:multiLevelType w:val="hybridMultilevel"/>
    <w:tmpl w:val="078CFBE6"/>
    <w:lvl w:ilvl="0" w:tplc="32DA31E6">
      <w:start w:val="1"/>
      <w:numFmt w:val="decimal"/>
      <w:lvlText w:val="注%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DA61BD7"/>
    <w:multiLevelType w:val="hybridMultilevel"/>
    <w:tmpl w:val="583C8398"/>
    <w:lvl w:ilvl="0" w:tplc="C6F0657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2DC"/>
    <w:rsid w:val="0000207D"/>
    <w:rsid w:val="00017B5A"/>
    <w:rsid w:val="000572AA"/>
    <w:rsid w:val="0009165F"/>
    <w:rsid w:val="000D721B"/>
    <w:rsid w:val="000E62F1"/>
    <w:rsid w:val="00252659"/>
    <w:rsid w:val="00273664"/>
    <w:rsid w:val="002E7018"/>
    <w:rsid w:val="00326E75"/>
    <w:rsid w:val="00342897"/>
    <w:rsid w:val="003F3E44"/>
    <w:rsid w:val="00414C70"/>
    <w:rsid w:val="00427A74"/>
    <w:rsid w:val="0046669A"/>
    <w:rsid w:val="00476D8E"/>
    <w:rsid w:val="004A5673"/>
    <w:rsid w:val="005020DD"/>
    <w:rsid w:val="00556D86"/>
    <w:rsid w:val="00566B39"/>
    <w:rsid w:val="005852DC"/>
    <w:rsid w:val="005F783E"/>
    <w:rsid w:val="006B4116"/>
    <w:rsid w:val="006D5493"/>
    <w:rsid w:val="006D65E0"/>
    <w:rsid w:val="00712864"/>
    <w:rsid w:val="00723E05"/>
    <w:rsid w:val="0080566A"/>
    <w:rsid w:val="00822D36"/>
    <w:rsid w:val="008B059F"/>
    <w:rsid w:val="008F6D87"/>
    <w:rsid w:val="009607FC"/>
    <w:rsid w:val="009A7C6C"/>
    <w:rsid w:val="009C2080"/>
    <w:rsid w:val="00B14D00"/>
    <w:rsid w:val="00B61D9F"/>
    <w:rsid w:val="00BE4B50"/>
    <w:rsid w:val="00C1452F"/>
    <w:rsid w:val="00C81201"/>
    <w:rsid w:val="00C81EDC"/>
    <w:rsid w:val="00D00EF6"/>
    <w:rsid w:val="00D715D1"/>
    <w:rsid w:val="00DD0B1D"/>
    <w:rsid w:val="00DD440D"/>
    <w:rsid w:val="00E03DFB"/>
    <w:rsid w:val="00E740BD"/>
    <w:rsid w:val="00E83CCA"/>
    <w:rsid w:val="00F26499"/>
    <w:rsid w:val="00F54AA9"/>
    <w:rsid w:val="00F81983"/>
    <w:rsid w:val="00FC59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A173F85"/>
  <w15:chartTrackingRefBased/>
  <w15:docId w15:val="{CA621883-8053-4E53-A4E3-BB8E0FEBB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852DC"/>
    <w:pPr>
      <w:ind w:leftChars="400" w:left="840"/>
    </w:pPr>
  </w:style>
  <w:style w:type="character" w:styleId="a4">
    <w:name w:val="Placeholder Text"/>
    <w:basedOn w:val="a0"/>
    <w:uiPriority w:val="99"/>
    <w:semiHidden/>
    <w:rsid w:val="00B14D00"/>
    <w:rPr>
      <w:color w:val="808080"/>
    </w:rPr>
  </w:style>
  <w:style w:type="paragraph" w:styleId="a5">
    <w:name w:val="Balloon Text"/>
    <w:basedOn w:val="a"/>
    <w:link w:val="a6"/>
    <w:uiPriority w:val="99"/>
    <w:semiHidden/>
    <w:unhideWhenUsed/>
    <w:rsid w:val="000572AA"/>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0572AA"/>
    <w:rPr>
      <w:rFonts w:asciiTheme="majorHAnsi" w:eastAsiaTheme="majorEastAsia" w:hAnsiTheme="majorHAnsi" w:cstheme="majorBidi"/>
      <w:sz w:val="18"/>
      <w:szCs w:val="18"/>
    </w:rPr>
  </w:style>
  <w:style w:type="character" w:styleId="a7">
    <w:name w:val="annotation reference"/>
    <w:basedOn w:val="a0"/>
    <w:uiPriority w:val="99"/>
    <w:semiHidden/>
    <w:unhideWhenUsed/>
    <w:rsid w:val="00273664"/>
    <w:rPr>
      <w:sz w:val="18"/>
      <w:szCs w:val="18"/>
    </w:rPr>
  </w:style>
  <w:style w:type="paragraph" w:styleId="a8">
    <w:name w:val="annotation text"/>
    <w:basedOn w:val="a"/>
    <w:link w:val="a9"/>
    <w:uiPriority w:val="99"/>
    <w:semiHidden/>
    <w:unhideWhenUsed/>
    <w:rsid w:val="00273664"/>
    <w:pPr>
      <w:jc w:val="left"/>
    </w:pPr>
  </w:style>
  <w:style w:type="character" w:customStyle="1" w:styleId="a9">
    <w:name w:val="コメント文字列 (文字)"/>
    <w:basedOn w:val="a0"/>
    <w:link w:val="a8"/>
    <w:uiPriority w:val="99"/>
    <w:semiHidden/>
    <w:rsid w:val="00273664"/>
  </w:style>
  <w:style w:type="paragraph" w:styleId="aa">
    <w:name w:val="annotation subject"/>
    <w:basedOn w:val="a8"/>
    <w:next w:val="a8"/>
    <w:link w:val="ab"/>
    <w:uiPriority w:val="99"/>
    <w:semiHidden/>
    <w:unhideWhenUsed/>
    <w:rsid w:val="00273664"/>
    <w:rPr>
      <w:b/>
      <w:bCs/>
    </w:rPr>
  </w:style>
  <w:style w:type="character" w:customStyle="1" w:styleId="ab">
    <w:name w:val="コメント内容 (文字)"/>
    <w:basedOn w:val="a9"/>
    <w:link w:val="aa"/>
    <w:uiPriority w:val="99"/>
    <w:semiHidden/>
    <w:rsid w:val="00273664"/>
    <w:rPr>
      <w:b/>
      <w:bCs/>
    </w:rPr>
  </w:style>
  <w:style w:type="paragraph" w:styleId="ac">
    <w:name w:val="header"/>
    <w:basedOn w:val="a"/>
    <w:link w:val="ad"/>
    <w:uiPriority w:val="99"/>
    <w:unhideWhenUsed/>
    <w:rsid w:val="000D721B"/>
    <w:pPr>
      <w:tabs>
        <w:tab w:val="center" w:pos="4252"/>
        <w:tab w:val="right" w:pos="8504"/>
      </w:tabs>
      <w:snapToGrid w:val="0"/>
    </w:pPr>
  </w:style>
  <w:style w:type="character" w:customStyle="1" w:styleId="ad">
    <w:name w:val="ヘッダー (文字)"/>
    <w:basedOn w:val="a0"/>
    <w:link w:val="ac"/>
    <w:uiPriority w:val="99"/>
    <w:rsid w:val="000D721B"/>
  </w:style>
  <w:style w:type="paragraph" w:styleId="ae">
    <w:name w:val="footer"/>
    <w:basedOn w:val="a"/>
    <w:link w:val="af"/>
    <w:uiPriority w:val="99"/>
    <w:unhideWhenUsed/>
    <w:rsid w:val="000D721B"/>
    <w:pPr>
      <w:tabs>
        <w:tab w:val="center" w:pos="4252"/>
        <w:tab w:val="right" w:pos="8504"/>
      </w:tabs>
      <w:snapToGrid w:val="0"/>
    </w:pPr>
  </w:style>
  <w:style w:type="character" w:customStyle="1" w:styleId="af">
    <w:name w:val="フッター (文字)"/>
    <w:basedOn w:val="a0"/>
    <w:link w:val="ae"/>
    <w:uiPriority w:val="99"/>
    <w:rsid w:val="000D721B"/>
  </w:style>
  <w:style w:type="paragraph" w:styleId="af0">
    <w:name w:val="Revision"/>
    <w:hidden/>
    <w:uiPriority w:val="99"/>
    <w:semiHidden/>
    <w:rsid w:val="00DD44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chart" Target="charts/chart1.xml"/><Relationship Id="rId4" Type="http://schemas.openxmlformats.org/officeDocument/2006/relationships/webSettings" Target="webSettings.xml"/><Relationship Id="rId9" Type="http://schemas.openxmlformats.org/officeDocument/2006/relationships/image" Target="media/image3.emf"/></Relationships>
</file>

<file path=word/charts/_rels/chart1.xml.rels><?xml version="1.0" encoding="UTF-8" standalone="yes"?>
<Relationships xmlns="http://schemas.openxmlformats.org/package/2006/relationships"><Relationship Id="rId3" Type="http://schemas.openxmlformats.org/officeDocument/2006/relationships/oleObject" Target="file:///C:\Users\Kojima\Desktop\&#31532;4&#22238;&#25918;&#23556;&#33021;&#20998;&#26512;&#25216;&#33021;&#35430;&#39443;2018\&#19981;&#30906;&#12363;&#12373;&#31639;&#20986;\&#21177;&#29575;&#28204;&#23450;&#12487;&#12540;&#12479;&#20363;.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充てん高さ!$B$9</c:f>
              <c:strCache>
                <c:ptCount val="1"/>
                <c:pt idx="0">
                  <c:v>Cs-137</c:v>
                </c:pt>
              </c:strCache>
            </c:strRef>
          </c:tx>
          <c:spPr>
            <a:ln w="25400" cap="rnd">
              <a:noFill/>
              <a:round/>
            </a:ln>
            <a:effectLst/>
          </c:spPr>
          <c:marker>
            <c:symbol val="circle"/>
            <c:size val="5"/>
            <c:spPr>
              <a:solidFill>
                <a:schemeClr val="accent1"/>
              </a:solidFill>
              <a:ln w="9525">
                <a:solidFill>
                  <a:schemeClr val="accent1"/>
                </a:solidFill>
              </a:ln>
              <a:effectLst/>
            </c:spPr>
          </c:marker>
          <c:xVal>
            <c:numRef>
              <c:f>充てん高さ!$A$11:$A$15</c:f>
              <c:numCache>
                <c:formatCode>General</c:formatCode>
                <c:ptCount val="5"/>
                <c:pt idx="0">
                  <c:v>5</c:v>
                </c:pt>
                <c:pt idx="1">
                  <c:v>10</c:v>
                </c:pt>
                <c:pt idx="2">
                  <c:v>20</c:v>
                </c:pt>
                <c:pt idx="3">
                  <c:v>30</c:v>
                </c:pt>
                <c:pt idx="4">
                  <c:v>50</c:v>
                </c:pt>
              </c:numCache>
            </c:numRef>
          </c:xVal>
          <c:yVal>
            <c:numRef>
              <c:f>充てん高さ!$B$11:$B$15</c:f>
              <c:numCache>
                <c:formatCode>General</c:formatCode>
                <c:ptCount val="5"/>
                <c:pt idx="0">
                  <c:v>5.1667746495720042E-2</c:v>
                </c:pt>
                <c:pt idx="1">
                  <c:v>4.6362361713628848E-2</c:v>
                </c:pt>
                <c:pt idx="2">
                  <c:v>3.852749454360184E-2</c:v>
                </c:pt>
                <c:pt idx="3">
                  <c:v>3.354901039098003E-2</c:v>
                </c:pt>
                <c:pt idx="4">
                  <c:v>2.5621534122296306E-2</c:v>
                </c:pt>
              </c:numCache>
            </c:numRef>
          </c:yVal>
          <c:smooth val="0"/>
          <c:extLst>
            <c:ext xmlns:c16="http://schemas.microsoft.com/office/drawing/2014/chart" uri="{C3380CC4-5D6E-409C-BE32-E72D297353CC}">
              <c16:uniqueId val="{00000000-3CED-4B5F-97BC-AA6B21BEB624}"/>
            </c:ext>
          </c:extLst>
        </c:ser>
        <c:ser>
          <c:idx val="1"/>
          <c:order val="1"/>
          <c:tx>
            <c:strRef>
              <c:f>充てん高さ!$E$9</c:f>
              <c:strCache>
                <c:ptCount val="1"/>
                <c:pt idx="0">
                  <c:v>Cs-134</c:v>
                </c:pt>
              </c:strCache>
            </c:strRef>
          </c:tx>
          <c:spPr>
            <a:ln w="25400" cap="rnd">
              <a:noFill/>
              <a:round/>
            </a:ln>
            <a:effectLst/>
          </c:spPr>
          <c:marker>
            <c:symbol val="circle"/>
            <c:size val="5"/>
            <c:spPr>
              <a:solidFill>
                <a:schemeClr val="accent2"/>
              </a:solidFill>
              <a:ln w="9525">
                <a:solidFill>
                  <a:schemeClr val="accent2"/>
                </a:solidFill>
              </a:ln>
              <a:effectLst/>
            </c:spPr>
          </c:marker>
          <c:xVal>
            <c:numRef>
              <c:f>充てん高さ!$A$11:$A$15</c:f>
              <c:numCache>
                <c:formatCode>General</c:formatCode>
                <c:ptCount val="5"/>
                <c:pt idx="0">
                  <c:v>5</c:v>
                </c:pt>
                <c:pt idx="1">
                  <c:v>10</c:v>
                </c:pt>
                <c:pt idx="2">
                  <c:v>20</c:v>
                </c:pt>
                <c:pt idx="3">
                  <c:v>30</c:v>
                </c:pt>
                <c:pt idx="4">
                  <c:v>50</c:v>
                </c:pt>
              </c:numCache>
            </c:numRef>
          </c:xVal>
          <c:yVal>
            <c:numRef>
              <c:f>充てん高さ!$E$11:$E$15</c:f>
              <c:numCache>
                <c:formatCode>General</c:formatCode>
                <c:ptCount val="5"/>
                <c:pt idx="0">
                  <c:v>5.516516700774509E-2</c:v>
                </c:pt>
                <c:pt idx="1">
                  <c:v>4.9479881639132452E-2</c:v>
                </c:pt>
                <c:pt idx="2">
                  <c:v>4.1158174543445641E-2</c:v>
                </c:pt>
                <c:pt idx="3">
                  <c:v>3.5849601566912449E-2</c:v>
                </c:pt>
                <c:pt idx="4">
                  <c:v>2.7385371448927505E-2</c:v>
                </c:pt>
              </c:numCache>
            </c:numRef>
          </c:yVal>
          <c:smooth val="0"/>
          <c:extLst>
            <c:ext xmlns:c16="http://schemas.microsoft.com/office/drawing/2014/chart" uri="{C3380CC4-5D6E-409C-BE32-E72D297353CC}">
              <c16:uniqueId val="{00000001-3CED-4B5F-97BC-AA6B21BEB624}"/>
            </c:ext>
          </c:extLst>
        </c:ser>
        <c:ser>
          <c:idx val="2"/>
          <c:order val="2"/>
          <c:tx>
            <c:strRef>
              <c:f>充てん高さ!$H$9</c:f>
              <c:strCache>
                <c:ptCount val="1"/>
                <c:pt idx="0">
                  <c:v>K-40</c:v>
                </c:pt>
              </c:strCache>
            </c:strRef>
          </c:tx>
          <c:spPr>
            <a:ln w="25400" cap="rnd">
              <a:noFill/>
              <a:round/>
            </a:ln>
            <a:effectLst/>
          </c:spPr>
          <c:marker>
            <c:symbol val="circle"/>
            <c:size val="5"/>
            <c:spPr>
              <a:solidFill>
                <a:srgbClr val="7030A0"/>
              </a:solidFill>
              <a:ln w="9525">
                <a:solidFill>
                  <a:schemeClr val="accent3"/>
                </a:solidFill>
              </a:ln>
              <a:effectLst/>
            </c:spPr>
          </c:marker>
          <c:xVal>
            <c:numRef>
              <c:f>充てん高さ!$A$11:$A$15</c:f>
              <c:numCache>
                <c:formatCode>General</c:formatCode>
                <c:ptCount val="5"/>
                <c:pt idx="0">
                  <c:v>5</c:v>
                </c:pt>
                <c:pt idx="1">
                  <c:v>10</c:v>
                </c:pt>
                <c:pt idx="2">
                  <c:v>20</c:v>
                </c:pt>
                <c:pt idx="3">
                  <c:v>30</c:v>
                </c:pt>
                <c:pt idx="4">
                  <c:v>50</c:v>
                </c:pt>
              </c:numCache>
            </c:numRef>
          </c:xVal>
          <c:yVal>
            <c:numRef>
              <c:f>充てん高さ!$H$11:$H$15</c:f>
              <c:numCache>
                <c:formatCode>General</c:formatCode>
                <c:ptCount val="5"/>
                <c:pt idx="0">
                  <c:v>2.9185768695200988E-2</c:v>
                </c:pt>
                <c:pt idx="1">
                  <c:v>2.5877690081189401E-2</c:v>
                </c:pt>
                <c:pt idx="2">
                  <c:v>2.1362888120108104E-2</c:v>
                </c:pt>
                <c:pt idx="3">
                  <c:v>1.8591495583514171E-2</c:v>
                </c:pt>
                <c:pt idx="4">
                  <c:v>1.4168975590278295E-2</c:v>
                </c:pt>
              </c:numCache>
            </c:numRef>
          </c:yVal>
          <c:smooth val="0"/>
          <c:extLst>
            <c:ext xmlns:c16="http://schemas.microsoft.com/office/drawing/2014/chart" uri="{C3380CC4-5D6E-409C-BE32-E72D297353CC}">
              <c16:uniqueId val="{00000002-3CED-4B5F-97BC-AA6B21BEB624}"/>
            </c:ext>
          </c:extLst>
        </c:ser>
        <c:ser>
          <c:idx val="3"/>
          <c:order val="3"/>
          <c:tx>
            <c:strRef>
              <c:f>充てん高さ!$C$9</c:f>
              <c:strCache>
                <c:ptCount val="1"/>
                <c:pt idx="0">
                  <c:v>Cs-137(F)</c:v>
                </c:pt>
              </c:strCache>
            </c:strRef>
          </c:tx>
          <c:spPr>
            <a:ln w="6350" cap="rnd">
              <a:solidFill>
                <a:srgbClr val="00B0F0"/>
              </a:solidFill>
              <a:round/>
            </a:ln>
            <a:effectLst/>
          </c:spPr>
          <c:marker>
            <c:symbol val="none"/>
          </c:marker>
          <c:xVal>
            <c:numRef>
              <c:f>充てん高さ!$A$11:$A$15</c:f>
              <c:numCache>
                <c:formatCode>General</c:formatCode>
                <c:ptCount val="5"/>
                <c:pt idx="0">
                  <c:v>5</c:v>
                </c:pt>
                <c:pt idx="1">
                  <c:v>10</c:v>
                </c:pt>
                <c:pt idx="2">
                  <c:v>20</c:v>
                </c:pt>
                <c:pt idx="3">
                  <c:v>30</c:v>
                </c:pt>
                <c:pt idx="4">
                  <c:v>50</c:v>
                </c:pt>
              </c:numCache>
            </c:numRef>
          </c:xVal>
          <c:yVal>
            <c:numRef>
              <c:f>充てん高さ!$C$11:$C$15</c:f>
              <c:numCache>
                <c:formatCode>General</c:formatCode>
                <c:ptCount val="5"/>
                <c:pt idx="0">
                  <c:v>5.127735316051521E-2</c:v>
                </c:pt>
                <c:pt idx="1">
                  <c:v>4.682071587149584E-2</c:v>
                </c:pt>
                <c:pt idx="2">
                  <c:v>3.9118402264504623E-2</c:v>
                </c:pt>
                <c:pt idx="3">
                  <c:v>3.3030703285576786E-2</c:v>
                </c:pt>
                <c:pt idx="4">
                  <c:v>2.5699149211911257E-2</c:v>
                </c:pt>
              </c:numCache>
            </c:numRef>
          </c:yVal>
          <c:smooth val="0"/>
          <c:extLst>
            <c:ext xmlns:c16="http://schemas.microsoft.com/office/drawing/2014/chart" uri="{C3380CC4-5D6E-409C-BE32-E72D297353CC}">
              <c16:uniqueId val="{00000003-3CED-4B5F-97BC-AA6B21BEB624}"/>
            </c:ext>
          </c:extLst>
        </c:ser>
        <c:ser>
          <c:idx val="4"/>
          <c:order val="4"/>
          <c:tx>
            <c:strRef>
              <c:f>充てん高さ!$F$9</c:f>
              <c:strCache>
                <c:ptCount val="1"/>
                <c:pt idx="0">
                  <c:v>Cs-134(F)</c:v>
                </c:pt>
              </c:strCache>
            </c:strRef>
          </c:tx>
          <c:spPr>
            <a:ln w="6350" cap="rnd">
              <a:solidFill>
                <a:schemeClr val="accent2"/>
              </a:solidFill>
              <a:round/>
            </a:ln>
            <a:effectLst/>
          </c:spPr>
          <c:marker>
            <c:symbol val="none"/>
          </c:marker>
          <c:xVal>
            <c:numRef>
              <c:f>充てん高さ!$A$11:$A$15</c:f>
              <c:numCache>
                <c:formatCode>General</c:formatCode>
                <c:ptCount val="5"/>
                <c:pt idx="0">
                  <c:v>5</c:v>
                </c:pt>
                <c:pt idx="1">
                  <c:v>10</c:v>
                </c:pt>
                <c:pt idx="2">
                  <c:v>20</c:v>
                </c:pt>
                <c:pt idx="3">
                  <c:v>30</c:v>
                </c:pt>
                <c:pt idx="4">
                  <c:v>50</c:v>
                </c:pt>
              </c:numCache>
            </c:numRef>
          </c:xVal>
          <c:yVal>
            <c:numRef>
              <c:f>充てん高さ!$F$11:$F$15</c:f>
              <c:numCache>
                <c:formatCode>General</c:formatCode>
                <c:ptCount val="5"/>
                <c:pt idx="0">
                  <c:v>5.3715577327340419E-2</c:v>
                </c:pt>
                <c:pt idx="1">
                  <c:v>4.9655039077099249E-2</c:v>
                </c:pt>
                <c:pt idx="2">
                  <c:v>4.2360167852897861E-2</c:v>
                </c:pt>
                <c:pt idx="3">
                  <c:v>3.6166903663737739E-2</c:v>
                </c:pt>
                <c:pt idx="4">
                  <c:v>2.7085196390541248E-2</c:v>
                </c:pt>
              </c:numCache>
            </c:numRef>
          </c:yVal>
          <c:smooth val="0"/>
          <c:extLst>
            <c:ext xmlns:c16="http://schemas.microsoft.com/office/drawing/2014/chart" uri="{C3380CC4-5D6E-409C-BE32-E72D297353CC}">
              <c16:uniqueId val="{00000004-3CED-4B5F-97BC-AA6B21BEB624}"/>
            </c:ext>
          </c:extLst>
        </c:ser>
        <c:ser>
          <c:idx val="5"/>
          <c:order val="5"/>
          <c:tx>
            <c:strRef>
              <c:f>充てん高さ!$I$9</c:f>
              <c:strCache>
                <c:ptCount val="1"/>
                <c:pt idx="0">
                  <c:v>K-40(F)</c:v>
                </c:pt>
              </c:strCache>
            </c:strRef>
          </c:tx>
          <c:spPr>
            <a:ln w="6350" cap="rnd">
              <a:solidFill>
                <a:srgbClr val="7030A0"/>
              </a:solidFill>
              <a:round/>
            </a:ln>
            <a:effectLst/>
          </c:spPr>
          <c:marker>
            <c:symbol val="none"/>
          </c:marker>
          <c:xVal>
            <c:numRef>
              <c:f>充てん高さ!$A$11:$A$15</c:f>
              <c:numCache>
                <c:formatCode>General</c:formatCode>
                <c:ptCount val="5"/>
                <c:pt idx="0">
                  <c:v>5</c:v>
                </c:pt>
                <c:pt idx="1">
                  <c:v>10</c:v>
                </c:pt>
                <c:pt idx="2">
                  <c:v>20</c:v>
                </c:pt>
                <c:pt idx="3">
                  <c:v>30</c:v>
                </c:pt>
                <c:pt idx="4">
                  <c:v>50</c:v>
                </c:pt>
              </c:numCache>
            </c:numRef>
          </c:xVal>
          <c:yVal>
            <c:numRef>
              <c:f>充てん高さ!$I$11:$I$15</c:f>
              <c:numCache>
                <c:formatCode>General</c:formatCode>
                <c:ptCount val="5"/>
                <c:pt idx="0">
                  <c:v>2.9711393947196078E-2</c:v>
                </c:pt>
                <c:pt idx="1">
                  <c:v>2.701488673145792E-2</c:v>
                </c:pt>
                <c:pt idx="2">
                  <c:v>2.219624401060339E-2</c:v>
                </c:pt>
                <c:pt idx="3">
                  <c:v>1.8143430237244584E-2</c:v>
                </c:pt>
                <c:pt idx="4">
                  <c:v>1.2335289533014129E-2</c:v>
                </c:pt>
              </c:numCache>
            </c:numRef>
          </c:yVal>
          <c:smooth val="0"/>
          <c:extLst>
            <c:ext xmlns:c16="http://schemas.microsoft.com/office/drawing/2014/chart" uri="{C3380CC4-5D6E-409C-BE32-E72D297353CC}">
              <c16:uniqueId val="{00000005-3CED-4B5F-97BC-AA6B21BEB624}"/>
            </c:ext>
          </c:extLst>
        </c:ser>
        <c:dLbls>
          <c:showLegendKey val="0"/>
          <c:showVal val="0"/>
          <c:showCatName val="0"/>
          <c:showSerName val="0"/>
          <c:showPercent val="0"/>
          <c:showBubbleSize val="0"/>
        </c:dLbls>
        <c:axId val="517721664"/>
        <c:axId val="517717400"/>
      </c:scatterChart>
      <c:valAx>
        <c:axId val="517721664"/>
        <c:scaling>
          <c:orientation val="minMax"/>
          <c:max val="55"/>
          <c:min val="0"/>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ja-JP" altLang="en-US"/>
                  <a:t>充てん高さ</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ja-JP"/>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517717400"/>
        <c:crosses val="autoZero"/>
        <c:crossBetween val="midCat"/>
      </c:valAx>
      <c:valAx>
        <c:axId val="51771740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ja-JP" altLang="en-US"/>
                  <a:t>効率</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ja-JP"/>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517721664"/>
        <c:crosses val="autoZero"/>
        <c:crossBetween val="midCat"/>
      </c:valAx>
      <c:spPr>
        <a:noFill/>
        <a:ln>
          <a:solidFill>
            <a:schemeClr val="tx1"/>
          </a:solid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ja-JP"/>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0.61323</cdr:x>
      <cdr:y>0.06112</cdr:y>
    </cdr:from>
    <cdr:to>
      <cdr:x>0.95829</cdr:x>
      <cdr:y>0.31528</cdr:y>
    </cdr:to>
    <cdr:sp macro="" textlink="">
      <cdr:nvSpPr>
        <cdr:cNvPr id="2" name="テキスト ボックス 1">
          <a:extLst xmlns:a="http://schemas.openxmlformats.org/drawingml/2006/main">
            <a:ext uri="{FF2B5EF4-FFF2-40B4-BE49-F238E27FC236}">
              <a16:creationId xmlns:a16="http://schemas.microsoft.com/office/drawing/2014/main" id="{489819F9-8411-4A6D-86F2-7E2019C42C33}"/>
            </a:ext>
          </a:extLst>
        </cdr:cNvPr>
        <cdr:cNvSpPr txBox="1"/>
      </cdr:nvSpPr>
      <cdr:spPr>
        <a:xfrm xmlns:a="http://schemas.openxmlformats.org/drawingml/2006/main">
          <a:off x="3024454" y="217488"/>
          <a:ext cx="1701852" cy="904439"/>
        </a:xfrm>
        <a:prstGeom xmlns:a="http://schemas.openxmlformats.org/drawingml/2006/main" prst="rect">
          <a:avLst/>
        </a:prstGeom>
        <a:solidFill xmlns:a="http://schemas.openxmlformats.org/drawingml/2006/main">
          <a:schemeClr val="bg1"/>
        </a:solidFill>
      </cdr:spPr>
      <cdr:txBody>
        <a:bodyPr xmlns:a="http://schemas.openxmlformats.org/drawingml/2006/main" vertOverflow="clip" wrap="none" rtlCol="0"/>
        <a:lstStyle xmlns:a="http://schemas.openxmlformats.org/drawingml/2006/main"/>
        <a:p xmlns:a="http://schemas.openxmlformats.org/drawingml/2006/main">
          <a:r>
            <a:rPr lang="ja-JP" altLang="en-US" sz="1100">
              <a:solidFill>
                <a:srgbClr val="7030A0"/>
              </a:solidFill>
            </a:rPr>
            <a:t>●　</a:t>
          </a:r>
          <a:r>
            <a:rPr lang="en-US" altLang="ja-JP" sz="1100">
              <a:solidFill>
                <a:srgbClr val="7030A0"/>
              </a:solidFill>
            </a:rPr>
            <a:t>K-40(1460.75keV)</a:t>
          </a:r>
        </a:p>
        <a:p xmlns:a="http://schemas.openxmlformats.org/drawingml/2006/main">
          <a:r>
            <a:rPr lang="ja-JP" altLang="ja-JP" sz="1100">
              <a:solidFill>
                <a:srgbClr val="00B0F0"/>
              </a:solidFill>
              <a:effectLst/>
              <a:latin typeface="+mn-lt"/>
              <a:ea typeface="+mn-ea"/>
              <a:cs typeface="+mn-cs"/>
            </a:rPr>
            <a:t>●</a:t>
          </a:r>
          <a:r>
            <a:rPr lang="ja-JP" altLang="en-US" sz="1100">
              <a:solidFill>
                <a:srgbClr val="00B0F0"/>
              </a:solidFill>
              <a:effectLst/>
              <a:latin typeface="+mn-lt"/>
              <a:ea typeface="+mn-ea"/>
              <a:cs typeface="+mn-cs"/>
            </a:rPr>
            <a:t>　</a:t>
          </a:r>
          <a:r>
            <a:rPr lang="en-US" altLang="ja-JP" sz="1100">
              <a:solidFill>
                <a:srgbClr val="00B0F0"/>
              </a:solidFill>
              <a:effectLst/>
              <a:latin typeface="+mn-lt"/>
              <a:ea typeface="+mn-ea"/>
              <a:cs typeface="+mn-cs"/>
            </a:rPr>
            <a:t>Cs-137(661.65keV)</a:t>
          </a:r>
          <a:endParaRPr lang="ja-JP" altLang="ja-JP">
            <a:solidFill>
              <a:srgbClr val="00B0F0"/>
            </a:solidFill>
            <a:effectLst/>
          </a:endParaRPr>
        </a:p>
        <a:p xmlns:a="http://schemas.openxmlformats.org/drawingml/2006/main">
          <a:pPr marL="0" marR="0" lvl="0" indent="0" defTabSz="914400" eaLnBrk="1" fontAlgn="auto" latinLnBrk="0" hangingPunct="1">
            <a:lnSpc>
              <a:spcPct val="100000"/>
            </a:lnSpc>
            <a:spcBef>
              <a:spcPts val="0"/>
            </a:spcBef>
            <a:spcAft>
              <a:spcPts val="0"/>
            </a:spcAft>
            <a:buClrTx/>
            <a:buSzTx/>
            <a:buFontTx/>
            <a:buNone/>
            <a:tabLst/>
            <a:defRPr/>
          </a:pPr>
          <a:r>
            <a:rPr lang="ja-JP" altLang="ja-JP" sz="1100">
              <a:solidFill>
                <a:schemeClr val="accent4"/>
              </a:solidFill>
              <a:effectLst/>
              <a:latin typeface="+mn-lt"/>
              <a:ea typeface="+mn-ea"/>
              <a:cs typeface="+mn-cs"/>
            </a:rPr>
            <a:t>●</a:t>
          </a:r>
          <a:r>
            <a:rPr lang="ja-JP" altLang="en-US" sz="1100">
              <a:solidFill>
                <a:schemeClr val="accent4"/>
              </a:solidFill>
              <a:effectLst/>
              <a:latin typeface="+mn-lt"/>
              <a:ea typeface="+mn-ea"/>
              <a:cs typeface="+mn-cs"/>
            </a:rPr>
            <a:t>　</a:t>
          </a:r>
          <a:r>
            <a:rPr lang="en-US" altLang="ja-JP" sz="1100">
              <a:solidFill>
                <a:schemeClr val="accent4"/>
              </a:solidFill>
              <a:effectLst/>
              <a:latin typeface="+mn-lt"/>
              <a:ea typeface="+mn-ea"/>
              <a:cs typeface="+mn-cs"/>
            </a:rPr>
            <a:t>Cs-134(604.66keV)</a:t>
          </a:r>
          <a:endParaRPr lang="ja-JP" altLang="ja-JP">
            <a:solidFill>
              <a:schemeClr val="accent4"/>
            </a:solidFill>
            <a:effectLst/>
          </a:endParaRPr>
        </a:p>
        <a:p xmlns:a="http://schemas.openxmlformats.org/drawingml/2006/main">
          <a:endParaRPr lang="ja-JP" altLang="en-US" sz="1100"/>
        </a:p>
      </cdr:txBody>
    </cdr:sp>
  </cdr:relSizeAnchor>
</c:userShape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400</Words>
  <Characters>2282</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takata</dc:creator>
  <cp:keywords/>
  <dc:description/>
  <cp:lastModifiedBy>takata</cp:lastModifiedBy>
  <cp:revision>3</cp:revision>
  <cp:lastPrinted>2019-09-17T05:24:00Z</cp:lastPrinted>
  <dcterms:created xsi:type="dcterms:W3CDTF">2019-10-10T02:32:00Z</dcterms:created>
  <dcterms:modified xsi:type="dcterms:W3CDTF">2019-10-10T02:34:00Z</dcterms:modified>
</cp:coreProperties>
</file>